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86C7" w14:textId="77777777" w:rsidR="00E30555" w:rsidRDefault="00E30555">
      <w:bookmarkStart w:id="0" w:name="_GoBack"/>
      <w:bookmarkEnd w:id="0"/>
    </w:p>
    <w:p w14:paraId="03D27722" w14:textId="77777777" w:rsidR="00E30555" w:rsidRDefault="00420B6A" w:rsidP="00E30555">
      <w:pPr>
        <w:autoSpaceDE/>
        <w:autoSpaceDN/>
        <w:adjustRightInd/>
        <w:spacing w:after="160" w:line="259" w:lineRule="auto"/>
        <w:jc w:val="left"/>
      </w:pPr>
      <w:r>
        <w:rPr>
          <w:noProof/>
          <w:lang w:eastAsia="es-CO"/>
        </w:rPr>
        <mc:AlternateContent>
          <mc:Choice Requires="wps">
            <w:drawing>
              <wp:anchor distT="0" distB="0" distL="114300" distR="114300" simplePos="0" relativeHeight="251659264" behindDoc="1" locked="0" layoutInCell="1" allowOverlap="1" wp14:anchorId="7B35BB69" wp14:editId="57639577">
                <wp:simplePos x="0" y="0"/>
                <wp:positionH relativeFrom="page">
                  <wp:posOffset>-39757</wp:posOffset>
                </wp:positionH>
                <wp:positionV relativeFrom="paragraph">
                  <wp:posOffset>221698</wp:posOffset>
                </wp:positionV>
                <wp:extent cx="7785735" cy="8199782"/>
                <wp:effectExtent l="0" t="0" r="5715" b="0"/>
                <wp:wrapNone/>
                <wp:docPr id="39326902" name="Rectángulo 1"/>
                <wp:cNvGraphicFramePr/>
                <a:graphic xmlns:a="http://schemas.openxmlformats.org/drawingml/2006/main">
                  <a:graphicData uri="http://schemas.microsoft.com/office/word/2010/wordprocessingShape">
                    <wps:wsp>
                      <wps:cNvSpPr/>
                      <wps:spPr>
                        <a:xfrm>
                          <a:off x="0" y="0"/>
                          <a:ext cx="7785735" cy="819978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2B27D" w14:textId="77777777" w:rsidR="00E30555" w:rsidRDefault="00E30555" w:rsidP="00E30555">
                            <w:pPr>
                              <w:jc w:val="center"/>
                            </w:pPr>
                          </w:p>
                          <w:p w14:paraId="44F647A4" w14:textId="77777777" w:rsidR="00E30555" w:rsidRDefault="00E30555" w:rsidP="00E30555">
                            <w:pPr>
                              <w:jc w:val="center"/>
                            </w:pPr>
                          </w:p>
                          <w:p w14:paraId="37273D70" w14:textId="77777777" w:rsidR="00E30555" w:rsidRDefault="00E30555" w:rsidP="00E30555">
                            <w:pPr>
                              <w:jc w:val="center"/>
                            </w:pPr>
                          </w:p>
                          <w:p w14:paraId="776CC9E0" w14:textId="77777777" w:rsidR="00E30555" w:rsidRDefault="00E30555" w:rsidP="00E30555">
                            <w:pPr>
                              <w:jc w:val="center"/>
                            </w:pPr>
                          </w:p>
                          <w:p w14:paraId="23898E90" w14:textId="77777777" w:rsidR="00E30555" w:rsidRDefault="00E30555" w:rsidP="00E30555">
                            <w:pPr>
                              <w:jc w:val="center"/>
                            </w:pPr>
                          </w:p>
                          <w:p w14:paraId="6F2EEB46" w14:textId="77777777" w:rsidR="00E30555" w:rsidRDefault="00E30555" w:rsidP="00E30555">
                            <w:pPr>
                              <w:jc w:val="center"/>
                            </w:pPr>
                          </w:p>
                          <w:p w14:paraId="7604C8C6" w14:textId="77777777" w:rsidR="00E30555" w:rsidRDefault="00E30555" w:rsidP="00E30555">
                            <w:pPr>
                              <w:jc w:val="center"/>
                            </w:pPr>
                          </w:p>
                          <w:p w14:paraId="309746F2" w14:textId="77777777" w:rsidR="00E30555" w:rsidRDefault="00E30555" w:rsidP="00E30555">
                            <w:pPr>
                              <w:jc w:val="center"/>
                            </w:pPr>
                          </w:p>
                          <w:p w14:paraId="368984DC" w14:textId="77777777" w:rsidR="00E30555" w:rsidRDefault="00E30555" w:rsidP="00E30555">
                            <w:pPr>
                              <w:jc w:val="center"/>
                            </w:pPr>
                          </w:p>
                          <w:p w14:paraId="54BAC8AF" w14:textId="77777777" w:rsidR="00E30555" w:rsidRDefault="00E30555" w:rsidP="00E30555">
                            <w:pPr>
                              <w:jc w:val="center"/>
                            </w:pPr>
                          </w:p>
                          <w:p w14:paraId="1CB1B678" w14:textId="77777777" w:rsidR="00E30555" w:rsidRDefault="00E30555" w:rsidP="00E30555">
                            <w:pPr>
                              <w:jc w:val="center"/>
                            </w:pPr>
                          </w:p>
                          <w:p w14:paraId="68B1EBB7" w14:textId="77777777" w:rsidR="00E30555" w:rsidRDefault="00E30555" w:rsidP="00E30555">
                            <w:pPr>
                              <w:jc w:val="center"/>
                            </w:pPr>
                          </w:p>
                          <w:p w14:paraId="0CACA852" w14:textId="77777777" w:rsidR="00E30555" w:rsidRDefault="00E30555" w:rsidP="00E30555">
                            <w:pPr>
                              <w:jc w:val="center"/>
                            </w:pPr>
                          </w:p>
                          <w:p w14:paraId="56C20749" w14:textId="77777777" w:rsidR="00E30555" w:rsidRDefault="00E30555" w:rsidP="00E30555">
                            <w:pPr>
                              <w:jc w:val="center"/>
                            </w:pPr>
                          </w:p>
                          <w:p w14:paraId="6C9E6FE1" w14:textId="77777777" w:rsidR="00E30555" w:rsidRDefault="00E30555" w:rsidP="00E30555">
                            <w:pPr>
                              <w:jc w:val="center"/>
                            </w:pPr>
                          </w:p>
                          <w:p w14:paraId="15370E51" w14:textId="77777777" w:rsidR="00E30555" w:rsidRDefault="00E30555" w:rsidP="00E30555">
                            <w:pPr>
                              <w:jc w:val="center"/>
                            </w:pPr>
                          </w:p>
                          <w:p w14:paraId="7C2CEB66" w14:textId="77777777" w:rsidR="00E30555" w:rsidRDefault="00E30555" w:rsidP="00E30555">
                            <w:pPr>
                              <w:jc w:val="center"/>
                            </w:pPr>
                          </w:p>
                          <w:p w14:paraId="624FAE2D" w14:textId="77777777" w:rsidR="00E30555" w:rsidRDefault="00E30555" w:rsidP="00E30555">
                            <w:pPr>
                              <w:jc w:val="center"/>
                            </w:pPr>
                          </w:p>
                          <w:p w14:paraId="25D9D395" w14:textId="77777777" w:rsidR="00E30555" w:rsidRDefault="00E30555" w:rsidP="00E30555">
                            <w:pPr>
                              <w:pStyle w:val="Sinespaciado"/>
                              <w:jc w:val="center"/>
                              <w:rPr>
                                <w:rFonts w:ascii="Verdana" w:hAnsi="Verdana"/>
                                <w:b/>
                                <w:bCs/>
                                <w:color w:val="FFFFFF" w:themeColor="background1"/>
                                <w:sz w:val="32"/>
                                <w:szCs w:val="32"/>
                              </w:rPr>
                            </w:pPr>
                          </w:p>
                          <w:p w14:paraId="3096CFCD" w14:textId="77777777" w:rsidR="00E30555" w:rsidRDefault="00E30555" w:rsidP="00E30555">
                            <w:pPr>
                              <w:pStyle w:val="Sinespaciado"/>
                              <w:jc w:val="center"/>
                              <w:rPr>
                                <w:rFonts w:ascii="Verdana" w:hAnsi="Verdana"/>
                                <w:b/>
                                <w:bCs/>
                                <w:color w:val="FFFFFF" w:themeColor="background1"/>
                                <w:sz w:val="32"/>
                                <w:szCs w:val="32"/>
                              </w:rPr>
                            </w:pPr>
                          </w:p>
                          <w:p w14:paraId="24AEA8B1" w14:textId="77777777" w:rsidR="00E30555" w:rsidRDefault="00E30555" w:rsidP="00E30555">
                            <w:pPr>
                              <w:pStyle w:val="Sinespaciado"/>
                              <w:jc w:val="center"/>
                              <w:rPr>
                                <w:rFonts w:ascii="Verdana" w:hAnsi="Verdana"/>
                                <w:b/>
                                <w:bCs/>
                                <w:color w:val="FFFFFF" w:themeColor="background1"/>
                                <w:sz w:val="32"/>
                                <w:szCs w:val="32"/>
                              </w:rPr>
                            </w:pPr>
                          </w:p>
                          <w:p w14:paraId="5B8A5123" w14:textId="77777777" w:rsidR="00E30555" w:rsidRDefault="00E30555" w:rsidP="00E30555">
                            <w:pPr>
                              <w:pStyle w:val="Sinespaciado"/>
                              <w:jc w:val="center"/>
                              <w:rPr>
                                <w:rFonts w:ascii="Verdana" w:hAnsi="Verdana"/>
                                <w:b/>
                                <w:bCs/>
                                <w:color w:val="FFFFFF" w:themeColor="background1"/>
                                <w:sz w:val="32"/>
                                <w:szCs w:val="32"/>
                              </w:rPr>
                            </w:pPr>
                          </w:p>
                          <w:p w14:paraId="64578673" w14:textId="77777777" w:rsidR="00E30555" w:rsidRDefault="00E30555" w:rsidP="00E30555">
                            <w:pPr>
                              <w:pStyle w:val="Sinespaciado"/>
                              <w:jc w:val="center"/>
                              <w:rPr>
                                <w:rFonts w:ascii="Verdana" w:hAnsi="Verdana"/>
                                <w:b/>
                                <w:bCs/>
                                <w:color w:val="FFFFFF" w:themeColor="background1"/>
                                <w:sz w:val="32"/>
                                <w:szCs w:val="32"/>
                              </w:rPr>
                            </w:pPr>
                          </w:p>
                          <w:p w14:paraId="0CCDE8B6" w14:textId="77777777" w:rsidR="00E30555" w:rsidRDefault="00E30555" w:rsidP="00E30555">
                            <w:pPr>
                              <w:pStyle w:val="Sinespaciado"/>
                              <w:jc w:val="center"/>
                              <w:rPr>
                                <w:rFonts w:ascii="Verdana" w:hAnsi="Verdana"/>
                                <w:b/>
                                <w:bCs/>
                                <w:color w:val="FFFFFF" w:themeColor="background1"/>
                                <w:sz w:val="32"/>
                                <w:szCs w:val="32"/>
                              </w:rPr>
                            </w:pPr>
                          </w:p>
                          <w:p w14:paraId="5265360E" w14:textId="77777777" w:rsidR="00E30555" w:rsidRDefault="00E30555" w:rsidP="00E30555">
                            <w:pPr>
                              <w:pStyle w:val="Sinespaciado"/>
                              <w:jc w:val="center"/>
                              <w:rPr>
                                <w:rFonts w:ascii="Verdana" w:hAnsi="Verdana"/>
                                <w:b/>
                                <w:bCs/>
                                <w:color w:val="FFFFFF" w:themeColor="background1"/>
                                <w:sz w:val="32"/>
                                <w:szCs w:val="32"/>
                              </w:rPr>
                            </w:pPr>
                          </w:p>
                          <w:p w14:paraId="0FD789CF" w14:textId="77777777" w:rsidR="00E30555" w:rsidRDefault="00E30555" w:rsidP="00E30555">
                            <w:pPr>
                              <w:pStyle w:val="Sinespaciado"/>
                              <w:jc w:val="center"/>
                              <w:rPr>
                                <w:rFonts w:ascii="Verdana" w:hAnsi="Verdana"/>
                                <w:b/>
                                <w:bCs/>
                                <w:color w:val="FFFFFF" w:themeColor="background1"/>
                                <w:sz w:val="32"/>
                                <w:szCs w:val="32"/>
                              </w:rPr>
                            </w:pPr>
                          </w:p>
                          <w:p w14:paraId="5ACE920E" w14:textId="77777777" w:rsidR="00E30555" w:rsidRDefault="00E30555" w:rsidP="00E30555">
                            <w:pPr>
                              <w:pStyle w:val="Sinespaciado"/>
                              <w:jc w:val="center"/>
                              <w:rPr>
                                <w:rFonts w:ascii="Verdana" w:hAnsi="Verdana"/>
                                <w:b/>
                                <w:bCs/>
                                <w:color w:val="FFFFFF" w:themeColor="background1"/>
                                <w:sz w:val="32"/>
                                <w:szCs w:val="32"/>
                              </w:rPr>
                            </w:pPr>
                          </w:p>
                          <w:p w14:paraId="41C60458" w14:textId="77777777" w:rsidR="00E30555" w:rsidRPr="007F5349" w:rsidRDefault="00E30555" w:rsidP="00E30555">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64A174F7" w14:textId="77777777" w:rsidR="00E30555" w:rsidRPr="007F5349" w:rsidRDefault="00E30555" w:rsidP="00E30555">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21110F22" w14:textId="77777777" w:rsidR="00E30555" w:rsidRPr="007F5349" w:rsidRDefault="00E30555" w:rsidP="00E30555">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267E584E" w14:textId="77777777" w:rsidR="00E30555" w:rsidRPr="007F5349" w:rsidRDefault="00E30555" w:rsidP="00E30555">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580E70B7" w14:textId="77777777" w:rsidR="00E30555" w:rsidRPr="007F5349" w:rsidRDefault="00E30555" w:rsidP="00E30555">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3D070827" w14:textId="77777777" w:rsidR="00E30555" w:rsidRPr="008B6E7D" w:rsidRDefault="00E30555" w:rsidP="00E30555">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51D09AAE" w14:textId="77777777" w:rsidR="00E30555" w:rsidRDefault="00E30555" w:rsidP="00E305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BB69" id="Rectángulo 1" o:spid="_x0000_s1026" style="position:absolute;margin-left:-3.15pt;margin-top:17.45pt;width:613.05pt;height:6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" fillcolor="#671c34" stroked="f" strokeweight="1pt">
                <v:textbox>
                  <w:txbxContent>
                    <w:p w14:paraId="4532B27D" w14:textId="77777777" w:rsidR="00E30555" w:rsidRDefault="00E30555" w:rsidP="00E30555">
                      <w:pPr>
                        <w:jc w:val="center"/>
                      </w:pPr>
                    </w:p>
                    <w:p w14:paraId="44F647A4" w14:textId="77777777" w:rsidR="00E30555" w:rsidRDefault="00E30555" w:rsidP="00E30555">
                      <w:pPr>
                        <w:jc w:val="center"/>
                      </w:pPr>
                    </w:p>
                    <w:p w14:paraId="37273D70" w14:textId="77777777" w:rsidR="00E30555" w:rsidRDefault="00E30555" w:rsidP="00E30555">
                      <w:pPr>
                        <w:jc w:val="center"/>
                      </w:pPr>
                    </w:p>
                    <w:p w14:paraId="776CC9E0" w14:textId="77777777" w:rsidR="00E30555" w:rsidRDefault="00E30555" w:rsidP="00E30555">
                      <w:pPr>
                        <w:jc w:val="center"/>
                      </w:pPr>
                    </w:p>
                    <w:p w14:paraId="23898E90" w14:textId="77777777" w:rsidR="00E30555" w:rsidRDefault="00E30555" w:rsidP="00E30555">
                      <w:pPr>
                        <w:jc w:val="center"/>
                      </w:pPr>
                    </w:p>
                    <w:p w14:paraId="6F2EEB46" w14:textId="77777777" w:rsidR="00E30555" w:rsidRDefault="00E30555" w:rsidP="00E30555">
                      <w:pPr>
                        <w:jc w:val="center"/>
                      </w:pPr>
                    </w:p>
                    <w:p w14:paraId="7604C8C6" w14:textId="77777777" w:rsidR="00E30555" w:rsidRDefault="00E30555" w:rsidP="00E30555">
                      <w:pPr>
                        <w:jc w:val="center"/>
                      </w:pPr>
                    </w:p>
                    <w:p w14:paraId="309746F2" w14:textId="77777777" w:rsidR="00E30555" w:rsidRDefault="00E30555" w:rsidP="00E30555">
                      <w:pPr>
                        <w:jc w:val="center"/>
                      </w:pPr>
                    </w:p>
                    <w:p w14:paraId="368984DC" w14:textId="77777777" w:rsidR="00E30555" w:rsidRDefault="00E30555" w:rsidP="00E30555">
                      <w:pPr>
                        <w:jc w:val="center"/>
                      </w:pPr>
                    </w:p>
                    <w:p w14:paraId="54BAC8AF" w14:textId="77777777" w:rsidR="00E30555" w:rsidRDefault="00E30555" w:rsidP="00E30555">
                      <w:pPr>
                        <w:jc w:val="center"/>
                      </w:pPr>
                    </w:p>
                    <w:p w14:paraId="1CB1B678" w14:textId="77777777" w:rsidR="00E30555" w:rsidRDefault="00E30555" w:rsidP="00E30555">
                      <w:pPr>
                        <w:jc w:val="center"/>
                      </w:pPr>
                    </w:p>
                    <w:p w14:paraId="68B1EBB7" w14:textId="77777777" w:rsidR="00E30555" w:rsidRDefault="00E30555" w:rsidP="00E30555">
                      <w:pPr>
                        <w:jc w:val="center"/>
                      </w:pPr>
                    </w:p>
                    <w:p w14:paraId="0CACA852" w14:textId="77777777" w:rsidR="00E30555" w:rsidRDefault="00E30555" w:rsidP="00E30555">
                      <w:pPr>
                        <w:jc w:val="center"/>
                      </w:pPr>
                    </w:p>
                    <w:p w14:paraId="56C20749" w14:textId="77777777" w:rsidR="00E30555" w:rsidRDefault="00E30555" w:rsidP="00E30555">
                      <w:pPr>
                        <w:jc w:val="center"/>
                      </w:pPr>
                    </w:p>
                    <w:p w14:paraId="6C9E6FE1" w14:textId="77777777" w:rsidR="00E30555" w:rsidRDefault="00E30555" w:rsidP="00E30555">
                      <w:pPr>
                        <w:jc w:val="center"/>
                      </w:pPr>
                    </w:p>
                    <w:p w14:paraId="15370E51" w14:textId="77777777" w:rsidR="00E30555" w:rsidRDefault="00E30555" w:rsidP="00E30555">
                      <w:pPr>
                        <w:jc w:val="center"/>
                      </w:pPr>
                    </w:p>
                    <w:p w14:paraId="7C2CEB66" w14:textId="77777777" w:rsidR="00E30555" w:rsidRDefault="00E30555" w:rsidP="00E30555">
                      <w:pPr>
                        <w:jc w:val="center"/>
                      </w:pPr>
                    </w:p>
                    <w:p w14:paraId="624FAE2D" w14:textId="77777777" w:rsidR="00E30555" w:rsidRDefault="00E30555" w:rsidP="00E30555">
                      <w:pPr>
                        <w:jc w:val="center"/>
                      </w:pPr>
                    </w:p>
                    <w:p w14:paraId="25D9D395" w14:textId="77777777" w:rsidR="00E30555" w:rsidRDefault="00E30555" w:rsidP="00E30555">
                      <w:pPr>
                        <w:pStyle w:val="Sinespaciado"/>
                        <w:jc w:val="center"/>
                        <w:rPr>
                          <w:rFonts w:ascii="Verdana" w:hAnsi="Verdana"/>
                          <w:b/>
                          <w:bCs/>
                          <w:color w:val="FFFFFF" w:themeColor="background1"/>
                          <w:sz w:val="32"/>
                          <w:szCs w:val="32"/>
                        </w:rPr>
                      </w:pPr>
                    </w:p>
                    <w:p w14:paraId="3096CFCD" w14:textId="77777777" w:rsidR="00E30555" w:rsidRDefault="00E30555" w:rsidP="00E30555">
                      <w:pPr>
                        <w:pStyle w:val="Sinespaciado"/>
                        <w:jc w:val="center"/>
                        <w:rPr>
                          <w:rFonts w:ascii="Verdana" w:hAnsi="Verdana"/>
                          <w:b/>
                          <w:bCs/>
                          <w:color w:val="FFFFFF" w:themeColor="background1"/>
                          <w:sz w:val="32"/>
                          <w:szCs w:val="32"/>
                        </w:rPr>
                      </w:pPr>
                    </w:p>
                    <w:p w14:paraId="24AEA8B1" w14:textId="77777777" w:rsidR="00E30555" w:rsidRDefault="00E30555" w:rsidP="00E30555">
                      <w:pPr>
                        <w:pStyle w:val="Sinespaciado"/>
                        <w:jc w:val="center"/>
                        <w:rPr>
                          <w:rFonts w:ascii="Verdana" w:hAnsi="Verdana"/>
                          <w:b/>
                          <w:bCs/>
                          <w:color w:val="FFFFFF" w:themeColor="background1"/>
                          <w:sz w:val="32"/>
                          <w:szCs w:val="32"/>
                        </w:rPr>
                      </w:pPr>
                    </w:p>
                    <w:p w14:paraId="5B8A5123" w14:textId="77777777" w:rsidR="00E30555" w:rsidRDefault="00E30555" w:rsidP="00E30555">
                      <w:pPr>
                        <w:pStyle w:val="Sinespaciado"/>
                        <w:jc w:val="center"/>
                        <w:rPr>
                          <w:rFonts w:ascii="Verdana" w:hAnsi="Verdana"/>
                          <w:b/>
                          <w:bCs/>
                          <w:color w:val="FFFFFF" w:themeColor="background1"/>
                          <w:sz w:val="32"/>
                          <w:szCs w:val="32"/>
                        </w:rPr>
                      </w:pPr>
                    </w:p>
                    <w:p w14:paraId="64578673" w14:textId="77777777" w:rsidR="00E30555" w:rsidRDefault="00E30555" w:rsidP="00E30555">
                      <w:pPr>
                        <w:pStyle w:val="Sinespaciado"/>
                        <w:jc w:val="center"/>
                        <w:rPr>
                          <w:rFonts w:ascii="Verdana" w:hAnsi="Verdana"/>
                          <w:b/>
                          <w:bCs/>
                          <w:color w:val="FFFFFF" w:themeColor="background1"/>
                          <w:sz w:val="32"/>
                          <w:szCs w:val="32"/>
                        </w:rPr>
                      </w:pPr>
                    </w:p>
                    <w:p w14:paraId="0CCDE8B6" w14:textId="77777777" w:rsidR="00E30555" w:rsidRDefault="00E30555" w:rsidP="00E30555">
                      <w:pPr>
                        <w:pStyle w:val="Sinespaciado"/>
                        <w:jc w:val="center"/>
                        <w:rPr>
                          <w:rFonts w:ascii="Verdana" w:hAnsi="Verdana"/>
                          <w:b/>
                          <w:bCs/>
                          <w:color w:val="FFFFFF" w:themeColor="background1"/>
                          <w:sz w:val="32"/>
                          <w:szCs w:val="32"/>
                        </w:rPr>
                      </w:pPr>
                    </w:p>
                    <w:p w14:paraId="5265360E" w14:textId="77777777" w:rsidR="00E30555" w:rsidRDefault="00E30555" w:rsidP="00E30555">
                      <w:pPr>
                        <w:pStyle w:val="Sinespaciado"/>
                        <w:jc w:val="center"/>
                        <w:rPr>
                          <w:rFonts w:ascii="Verdana" w:hAnsi="Verdana"/>
                          <w:b/>
                          <w:bCs/>
                          <w:color w:val="FFFFFF" w:themeColor="background1"/>
                          <w:sz w:val="32"/>
                          <w:szCs w:val="32"/>
                        </w:rPr>
                      </w:pPr>
                    </w:p>
                    <w:p w14:paraId="0FD789CF" w14:textId="77777777" w:rsidR="00E30555" w:rsidRDefault="00E30555" w:rsidP="00E30555">
                      <w:pPr>
                        <w:pStyle w:val="Sinespaciado"/>
                        <w:jc w:val="center"/>
                        <w:rPr>
                          <w:rFonts w:ascii="Verdana" w:hAnsi="Verdana"/>
                          <w:b/>
                          <w:bCs/>
                          <w:color w:val="FFFFFF" w:themeColor="background1"/>
                          <w:sz w:val="32"/>
                          <w:szCs w:val="32"/>
                        </w:rPr>
                      </w:pPr>
                    </w:p>
                    <w:p w14:paraId="5ACE920E" w14:textId="77777777" w:rsidR="00E30555" w:rsidRDefault="00E30555" w:rsidP="00E30555">
                      <w:pPr>
                        <w:pStyle w:val="Sinespaciado"/>
                        <w:jc w:val="center"/>
                        <w:rPr>
                          <w:rFonts w:ascii="Verdana" w:hAnsi="Verdana"/>
                          <w:b/>
                          <w:bCs/>
                          <w:color w:val="FFFFFF" w:themeColor="background1"/>
                          <w:sz w:val="32"/>
                          <w:szCs w:val="32"/>
                        </w:rPr>
                      </w:pPr>
                    </w:p>
                    <w:p w14:paraId="41C60458" w14:textId="77777777" w:rsidR="00E30555" w:rsidRPr="007F5349" w:rsidRDefault="00E30555" w:rsidP="00E30555">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64A174F7" w14:textId="77777777" w:rsidR="00E30555" w:rsidRPr="007F5349" w:rsidRDefault="00E30555" w:rsidP="00E30555">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21110F22" w14:textId="77777777" w:rsidR="00E30555" w:rsidRPr="007F5349" w:rsidRDefault="00E30555" w:rsidP="00E30555">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267E584E" w14:textId="77777777" w:rsidR="00E30555" w:rsidRPr="007F5349" w:rsidRDefault="00E30555" w:rsidP="00E30555">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580E70B7" w14:textId="77777777" w:rsidR="00E30555" w:rsidRPr="007F5349" w:rsidRDefault="00E30555" w:rsidP="00E30555">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3D070827" w14:textId="77777777" w:rsidR="00E30555" w:rsidRPr="008B6E7D" w:rsidRDefault="00E30555" w:rsidP="00E30555">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51D09AAE" w14:textId="77777777" w:rsidR="00E30555" w:rsidRDefault="00E30555" w:rsidP="00E30555"/>
                  </w:txbxContent>
                </v:textbox>
                <w10:wrap anchorx="page"/>
              </v:rect>
            </w:pict>
          </mc:Fallback>
        </mc:AlternateContent>
      </w:r>
      <w:r w:rsidR="00E30555" w:rsidRPr="003B73BB">
        <w:rPr>
          <w:noProof/>
          <w:lang w:val="es-419" w:eastAsia="es-419"/>
        </w:rPr>
        <mc:AlternateContent>
          <mc:Choice Requires="wpg">
            <w:drawing>
              <wp:anchor distT="0" distB="0" distL="114300" distR="114300" simplePos="0" relativeHeight="251661312" behindDoc="0" locked="0" layoutInCell="1" allowOverlap="1" wp14:anchorId="2269ECD8" wp14:editId="54AFE28D">
                <wp:simplePos x="0" y="0"/>
                <wp:positionH relativeFrom="page">
                  <wp:posOffset>971550</wp:posOffset>
                </wp:positionH>
                <wp:positionV relativeFrom="paragraph">
                  <wp:posOffset>828040</wp:posOffset>
                </wp:positionV>
                <wp:extent cx="7305675" cy="3196590"/>
                <wp:effectExtent l="0" t="0" r="28575" b="3810"/>
                <wp:wrapNone/>
                <wp:docPr id="2026348545" name="Cuadro de texto 1"/>
                <wp:cNvGraphicFramePr/>
                <a:graphic xmlns:a="http://schemas.openxmlformats.org/drawingml/2006/main">
                  <a:graphicData uri="http://schemas.microsoft.com/office/word/2010/wordprocessingGroup">
                    <wpg:wgp>
                      <wpg:cNvGrpSpPr/>
                      <wpg:grpSpPr>
                        <a:xfrm>
                          <a:off x="0" y="0"/>
                          <a:ext cx="7305675" cy="3196590"/>
                          <a:chOff x="-4349086" y="346710"/>
                          <a:chExt cx="6475066" cy="3043098"/>
                        </a:xfrm>
                      </wpg:grpSpPr>
                      <wps:wsp>
                        <wps:cNvPr id="2" name="Rectángulo 2"/>
                        <wps:cNvSpPr/>
                        <wps:spPr>
                          <a:xfrm>
                            <a:off x="-4349086" y="416002"/>
                            <a:ext cx="5250966" cy="2973806"/>
                          </a:xfrm>
                          <a:prstGeom prst="rect">
                            <a:avLst/>
                          </a:prstGeom>
                          <a:noFill/>
                          <a:ln w="6350">
                            <a:noFill/>
                          </a:ln>
                        </wps:spPr>
                        <wps:txbx>
                          <w:txbxContent>
                            <w:p w14:paraId="6648AB75" w14:textId="77777777" w:rsidR="00E30555" w:rsidRPr="00420B6A" w:rsidRDefault="00E30555" w:rsidP="00E30555">
                              <w:pPr>
                                <w:spacing w:line="256" w:lineRule="auto"/>
                                <w:jc w:val="center"/>
                                <w:rPr>
                                  <w:rFonts w:ascii="Verdana" w:eastAsia="Verdana" w:hAnsi="Verdana"/>
                                  <w:b/>
                                  <w:color w:val="FFFFFF"/>
                                  <w:sz w:val="44"/>
                                  <w:szCs w:val="48"/>
                                  <w:lang w:val="en-US"/>
                                </w:rPr>
                              </w:pPr>
                              <w:r w:rsidRPr="00420B6A">
                                <w:rPr>
                                  <w:rFonts w:ascii="Verdana" w:eastAsia="Verdana" w:hAnsi="Verdana"/>
                                  <w:b/>
                                  <w:color w:val="FFFFFF"/>
                                  <w:sz w:val="44"/>
                                  <w:szCs w:val="48"/>
                                  <w:lang w:val="en-US"/>
                                </w:rPr>
                                <w:t>PLAN ANUAL DEL SISTEMA DE GESTIÓN DE SEGURIDAD Y SALUD EN EL TRABAJO SG-SST</w:t>
                              </w:r>
                            </w:p>
                            <w:p w14:paraId="77BAE0C0" w14:textId="77777777" w:rsidR="00886018" w:rsidRDefault="00886018" w:rsidP="00E30555">
                              <w:pPr>
                                <w:spacing w:line="256" w:lineRule="auto"/>
                                <w:jc w:val="center"/>
                                <w:rPr>
                                  <w:rFonts w:ascii="Verdana" w:eastAsia="Verdana" w:hAnsi="Verdana"/>
                                  <w:b/>
                                  <w:color w:val="FFFFFF"/>
                                  <w:sz w:val="44"/>
                                  <w:szCs w:val="48"/>
                                  <w:lang w:val="en-US"/>
                                </w:rPr>
                              </w:pPr>
                            </w:p>
                            <w:p w14:paraId="0CE69F78" w14:textId="3B92545A" w:rsidR="00E30555" w:rsidRPr="00420B6A" w:rsidRDefault="00E30555" w:rsidP="00E30555">
                              <w:pPr>
                                <w:spacing w:line="256" w:lineRule="auto"/>
                                <w:jc w:val="center"/>
                                <w:rPr>
                                  <w:rFonts w:ascii="Verdana" w:eastAsia="Verdana" w:hAnsi="Verdana"/>
                                  <w:b/>
                                  <w:color w:val="FFFFFF"/>
                                  <w:sz w:val="44"/>
                                  <w:szCs w:val="48"/>
                                  <w:lang w:val="en-US"/>
                                </w:rPr>
                              </w:pPr>
                              <w:r w:rsidRPr="00420B6A">
                                <w:rPr>
                                  <w:rFonts w:ascii="Verdana" w:eastAsia="Verdana" w:hAnsi="Verdana"/>
                                  <w:b/>
                                  <w:color w:val="FFFFFF"/>
                                  <w:sz w:val="44"/>
                                  <w:szCs w:val="48"/>
                                  <w:lang w:val="en-US"/>
                                </w:rPr>
                                <w:t>SUPERINTENDENCIA DEL SUBSIDIO FAMILIAR</w:t>
                              </w:r>
                            </w:p>
                            <w:p w14:paraId="06806AA8" w14:textId="77777777" w:rsidR="00E30555" w:rsidRPr="00E30555" w:rsidRDefault="00E30555" w:rsidP="00E30555">
                              <w:pPr>
                                <w:spacing w:line="256" w:lineRule="auto"/>
                                <w:jc w:val="center"/>
                                <w:rPr>
                                  <w:rFonts w:ascii="Verdana" w:eastAsia="Verdana" w:hAnsi="Verdana"/>
                                  <w:b/>
                                  <w:color w:val="FFFFFF"/>
                                  <w:sz w:val="48"/>
                                  <w:szCs w:val="48"/>
                                  <w:lang w:val="en-US"/>
                                </w:rPr>
                              </w:pPr>
                              <w:r w:rsidRPr="00420B6A">
                                <w:rPr>
                                  <w:rFonts w:ascii="Verdana" w:eastAsia="Verdana" w:hAnsi="Verdana"/>
                                  <w:b/>
                                  <w:color w:val="FFFFFF"/>
                                  <w:sz w:val="44"/>
                                  <w:szCs w:val="48"/>
                                  <w:lang w:val="en-US"/>
                                </w:rPr>
                                <w:t>2025</w:t>
                              </w:r>
                            </w:p>
                          </w:txbxContent>
                        </wps:txbx>
                        <wps:bodyPr spcFirstLastPara="0" wrap="square" lIns="91440" tIns="45720" rIns="91440" bIns="45720" anchor="t">
                          <a:noAutofit/>
                        </wps:bodyPr>
                      </wps:wsp>
                      <wps:wsp>
                        <wps:cNvPr id="3" name="Rectángulo 3"/>
                        <wps:cNvSpPr/>
                        <wps:spPr>
                          <a:xfrm>
                            <a:off x="2116455" y="346710"/>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2269ECD8" id="Cuadro de texto 1" o:spid="_x0000_s1027" style="position:absolute;margin-left:76.5pt;margin-top:65.2pt;width:575.25pt;height:251.7pt;z-index:251661312;mso-position-horizontal-relative:page;mso-width-relative:margin;mso-height-relative:margin" coordorigin="-43490,3467" coordsize="64750,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">
                <v:rect id="Rectángulo 2" o:spid="_x0000_s1028" style="position:absolute;left:-43490;top:4160;width:52508;height:29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" filled="f" stroked="f" strokeweight=".5pt">
                  <v:textbox>
                    <w:txbxContent>
                      <w:p w14:paraId="6648AB75" w14:textId="77777777" w:rsidR="00E30555" w:rsidRPr="00420B6A" w:rsidRDefault="00E30555" w:rsidP="00E30555">
                        <w:pPr>
                          <w:spacing w:line="256" w:lineRule="auto"/>
                          <w:jc w:val="center"/>
                          <w:rPr>
                            <w:rFonts w:ascii="Verdana" w:eastAsia="Verdana" w:hAnsi="Verdana"/>
                            <w:b/>
                            <w:color w:val="FFFFFF"/>
                            <w:sz w:val="44"/>
                            <w:szCs w:val="48"/>
                            <w:lang w:val="en-US"/>
                          </w:rPr>
                        </w:pPr>
                        <w:r w:rsidRPr="00420B6A">
                          <w:rPr>
                            <w:rFonts w:ascii="Verdana" w:eastAsia="Verdana" w:hAnsi="Verdana"/>
                            <w:b/>
                            <w:color w:val="FFFFFF"/>
                            <w:sz w:val="44"/>
                            <w:szCs w:val="48"/>
                            <w:lang w:val="en-US"/>
                          </w:rPr>
                          <w:t>PLAN ANUAL DEL SISTEMA DE GESTIÓN DE SEGURIDAD Y SALUD EN EL TRABAJO SG-SST</w:t>
                        </w:r>
                      </w:p>
                      <w:p w14:paraId="77BAE0C0" w14:textId="77777777" w:rsidR="00886018" w:rsidRDefault="00886018" w:rsidP="00E30555">
                        <w:pPr>
                          <w:spacing w:line="256" w:lineRule="auto"/>
                          <w:jc w:val="center"/>
                          <w:rPr>
                            <w:rFonts w:ascii="Verdana" w:eastAsia="Verdana" w:hAnsi="Verdana"/>
                            <w:b/>
                            <w:color w:val="FFFFFF"/>
                            <w:sz w:val="44"/>
                            <w:szCs w:val="48"/>
                            <w:lang w:val="en-US"/>
                          </w:rPr>
                        </w:pPr>
                      </w:p>
                      <w:p w14:paraId="0CE69F78" w14:textId="3B92545A" w:rsidR="00E30555" w:rsidRPr="00420B6A" w:rsidRDefault="00E30555" w:rsidP="00E30555">
                        <w:pPr>
                          <w:spacing w:line="256" w:lineRule="auto"/>
                          <w:jc w:val="center"/>
                          <w:rPr>
                            <w:rFonts w:ascii="Verdana" w:eastAsia="Verdana" w:hAnsi="Verdana"/>
                            <w:b/>
                            <w:color w:val="FFFFFF"/>
                            <w:sz w:val="44"/>
                            <w:szCs w:val="48"/>
                            <w:lang w:val="en-US"/>
                          </w:rPr>
                        </w:pPr>
                        <w:r w:rsidRPr="00420B6A">
                          <w:rPr>
                            <w:rFonts w:ascii="Verdana" w:eastAsia="Verdana" w:hAnsi="Verdana"/>
                            <w:b/>
                            <w:color w:val="FFFFFF"/>
                            <w:sz w:val="44"/>
                            <w:szCs w:val="48"/>
                            <w:lang w:val="en-US"/>
                          </w:rPr>
                          <w:t>SUPERINTENDENCIA DEL SUBSIDIO FAMILIAR</w:t>
                        </w:r>
                      </w:p>
                      <w:p w14:paraId="06806AA8" w14:textId="77777777" w:rsidR="00E30555" w:rsidRPr="00E30555" w:rsidRDefault="00E30555" w:rsidP="00E30555">
                        <w:pPr>
                          <w:spacing w:line="256" w:lineRule="auto"/>
                          <w:jc w:val="center"/>
                          <w:rPr>
                            <w:rFonts w:ascii="Verdana" w:eastAsia="Verdana" w:hAnsi="Verdana"/>
                            <w:b/>
                            <w:color w:val="FFFFFF"/>
                            <w:sz w:val="48"/>
                            <w:szCs w:val="48"/>
                            <w:lang w:val="en-US"/>
                          </w:rPr>
                        </w:pPr>
                        <w:r w:rsidRPr="00420B6A">
                          <w:rPr>
                            <w:rFonts w:ascii="Verdana" w:eastAsia="Verdana" w:hAnsi="Verdana"/>
                            <w:b/>
                            <w:color w:val="FFFFFF"/>
                            <w:sz w:val="44"/>
                            <w:szCs w:val="48"/>
                            <w:lang w:val="en-US"/>
                          </w:rPr>
                          <w:t>2025</w:t>
                        </w:r>
                      </w:p>
                    </w:txbxContent>
                  </v:textbox>
                </v:rect>
                <v:rect id="Rectángulo 3" o:spid="_x0000_s1029" style="position:absolute;left:21164;top:346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" fillcolor="white [3201]"/>
                <w10:wrap anchorx="page"/>
              </v:group>
            </w:pict>
          </mc:Fallback>
        </mc:AlternateContent>
      </w:r>
    </w:p>
    <w:p w14:paraId="3C3109FA" w14:textId="77777777" w:rsidR="00E30555" w:rsidRPr="00E30555" w:rsidRDefault="00E30555" w:rsidP="00E30555"/>
    <w:p w14:paraId="40587F42" w14:textId="77777777" w:rsidR="00E30555" w:rsidRPr="00E30555" w:rsidRDefault="00E30555" w:rsidP="00E30555"/>
    <w:p w14:paraId="1E16CCBD" w14:textId="77777777" w:rsidR="00E30555" w:rsidRPr="00E30555" w:rsidRDefault="00E30555" w:rsidP="00E30555"/>
    <w:p w14:paraId="6BB92641" w14:textId="77777777" w:rsidR="00E30555" w:rsidRPr="00E30555" w:rsidRDefault="00E30555" w:rsidP="00E30555"/>
    <w:p w14:paraId="38FD8346" w14:textId="77777777" w:rsidR="00E30555" w:rsidRPr="00E30555" w:rsidRDefault="00E30555" w:rsidP="00E30555"/>
    <w:p w14:paraId="70A1F16A" w14:textId="77777777" w:rsidR="00E30555" w:rsidRPr="00E30555" w:rsidRDefault="00E30555" w:rsidP="00E30555"/>
    <w:p w14:paraId="0FB7594F" w14:textId="77777777" w:rsidR="00E30555" w:rsidRPr="00E30555" w:rsidRDefault="00E30555" w:rsidP="00E30555"/>
    <w:p w14:paraId="07E9F176" w14:textId="77777777" w:rsidR="00E30555" w:rsidRPr="00E30555" w:rsidRDefault="00E30555" w:rsidP="00E30555"/>
    <w:p w14:paraId="34E0F377" w14:textId="77777777" w:rsidR="00E30555" w:rsidRPr="00E30555" w:rsidRDefault="00E30555" w:rsidP="00E30555"/>
    <w:p w14:paraId="34E8ED87" w14:textId="77777777" w:rsidR="00E30555" w:rsidRPr="00E30555" w:rsidRDefault="00E30555" w:rsidP="00E30555"/>
    <w:p w14:paraId="66ED30F4" w14:textId="77777777" w:rsidR="00E30555" w:rsidRPr="00E30555" w:rsidRDefault="00E30555" w:rsidP="00E30555"/>
    <w:p w14:paraId="347BE379" w14:textId="77777777" w:rsidR="00E30555" w:rsidRPr="00E30555" w:rsidRDefault="00E30555" w:rsidP="00E30555"/>
    <w:p w14:paraId="0FD262D7" w14:textId="77777777" w:rsidR="00E30555" w:rsidRPr="00E30555" w:rsidRDefault="00E30555" w:rsidP="00E30555"/>
    <w:p w14:paraId="15268955" w14:textId="77777777" w:rsidR="00E30555" w:rsidRPr="00E30555" w:rsidRDefault="00E30555" w:rsidP="00E30555"/>
    <w:p w14:paraId="026F3057" w14:textId="77777777" w:rsidR="00E30555" w:rsidRPr="00E30555" w:rsidRDefault="00E30555" w:rsidP="00E30555"/>
    <w:p w14:paraId="7E9E1E64" w14:textId="77777777" w:rsidR="00E30555" w:rsidRPr="00E30555" w:rsidRDefault="00E30555" w:rsidP="00E30555"/>
    <w:p w14:paraId="1300E9A7" w14:textId="77777777" w:rsidR="00E30555" w:rsidRPr="00E30555" w:rsidRDefault="00E30555" w:rsidP="00E30555"/>
    <w:p w14:paraId="251077DF" w14:textId="77777777" w:rsidR="00E30555" w:rsidRPr="00E30555" w:rsidRDefault="00E30555" w:rsidP="00E30555"/>
    <w:p w14:paraId="03D37571" w14:textId="77777777" w:rsidR="00E30555" w:rsidRPr="00E30555" w:rsidRDefault="00E30555" w:rsidP="00E30555"/>
    <w:p w14:paraId="624D11D7" w14:textId="77777777" w:rsidR="00E30555" w:rsidRPr="00E30555" w:rsidRDefault="00E30555" w:rsidP="00E30555"/>
    <w:p w14:paraId="41B2623C" w14:textId="77777777" w:rsidR="00E30555" w:rsidRPr="00E30555" w:rsidRDefault="00E30555" w:rsidP="00E30555"/>
    <w:p w14:paraId="736F7EAC" w14:textId="77777777" w:rsidR="00E30555" w:rsidRPr="00E30555" w:rsidRDefault="00E30555" w:rsidP="00E30555"/>
    <w:p w14:paraId="175B7563" w14:textId="77777777" w:rsidR="00E30555" w:rsidRDefault="00E30555" w:rsidP="00E30555"/>
    <w:p w14:paraId="2AB315D5" w14:textId="77777777" w:rsidR="00420B6A" w:rsidRPr="00E30555" w:rsidRDefault="00420B6A" w:rsidP="00E30555"/>
    <w:p w14:paraId="33594F11" w14:textId="77777777" w:rsidR="00E30555" w:rsidRPr="00E30555" w:rsidRDefault="00E30555" w:rsidP="00E30555"/>
    <w:p w14:paraId="043B0BFB" w14:textId="77777777" w:rsidR="00E30555" w:rsidRPr="00E30555" w:rsidRDefault="00E30555" w:rsidP="00E30555"/>
    <w:p w14:paraId="684756A0" w14:textId="77777777" w:rsidR="00E30555" w:rsidRPr="00E30555" w:rsidRDefault="00E30555" w:rsidP="00E30555"/>
    <w:p w14:paraId="13D32C0B" w14:textId="77777777" w:rsidR="00E30555" w:rsidRPr="00E30555" w:rsidRDefault="00E30555" w:rsidP="00E30555"/>
    <w:p w14:paraId="274D5566" w14:textId="77777777" w:rsidR="00E30555" w:rsidRPr="00E30555" w:rsidRDefault="00E30555" w:rsidP="00E30555"/>
    <w:p w14:paraId="5CD1F4C2" w14:textId="77777777" w:rsidR="00E30555" w:rsidRPr="00E30555" w:rsidRDefault="00E30555" w:rsidP="00E30555"/>
    <w:p w14:paraId="7DA793FC" w14:textId="77777777" w:rsidR="00E30555" w:rsidRPr="00E30555" w:rsidRDefault="00E30555" w:rsidP="00E30555"/>
    <w:p w14:paraId="20E51EC3" w14:textId="77777777" w:rsidR="00E30555" w:rsidRPr="00E30555" w:rsidRDefault="00E30555" w:rsidP="00E30555"/>
    <w:p w14:paraId="10D9EE31" w14:textId="77777777" w:rsidR="00E30555" w:rsidRPr="00E30555" w:rsidRDefault="00E30555" w:rsidP="00E30555"/>
    <w:p w14:paraId="13938EFE" w14:textId="77777777" w:rsidR="00E30555" w:rsidRPr="00E30555" w:rsidRDefault="00E30555" w:rsidP="00E30555"/>
    <w:p w14:paraId="1EE15ACD" w14:textId="77777777" w:rsidR="00E30555" w:rsidRPr="00E30555" w:rsidRDefault="00E30555" w:rsidP="00E30555"/>
    <w:p w14:paraId="46652A9C" w14:textId="77777777" w:rsidR="00E30555" w:rsidRPr="00E30555" w:rsidRDefault="00E30555" w:rsidP="00E30555"/>
    <w:p w14:paraId="32208F18" w14:textId="77777777" w:rsidR="00E30555" w:rsidRPr="00E30555" w:rsidRDefault="00E30555" w:rsidP="00E30555"/>
    <w:p w14:paraId="261E5F31" w14:textId="77777777" w:rsidR="00E30555" w:rsidRPr="00E30555" w:rsidRDefault="00E30555" w:rsidP="00E30555"/>
    <w:p w14:paraId="76369B9C" w14:textId="77777777" w:rsidR="00E30555" w:rsidRPr="00E30555" w:rsidRDefault="00E30555" w:rsidP="00E30555"/>
    <w:p w14:paraId="27FCB472" w14:textId="77777777" w:rsidR="00E30555" w:rsidRPr="00E30555" w:rsidRDefault="00E30555" w:rsidP="00E30555"/>
    <w:p w14:paraId="24A34E29" w14:textId="77777777" w:rsidR="00E30555" w:rsidRPr="00E30555" w:rsidRDefault="00E30555" w:rsidP="00E30555"/>
    <w:p w14:paraId="27FA3F15" w14:textId="77777777" w:rsidR="00E30555" w:rsidRDefault="00E30555" w:rsidP="00E30555"/>
    <w:p w14:paraId="4652C758" w14:textId="77777777" w:rsidR="00E30555" w:rsidRPr="00E30555" w:rsidRDefault="00E30555" w:rsidP="00E30555"/>
    <w:p w14:paraId="70B65614" w14:textId="77777777" w:rsidR="00E30555" w:rsidRDefault="00E30555" w:rsidP="00E30555"/>
    <w:sdt>
      <w:sdtPr>
        <w:rPr>
          <w:rFonts w:ascii="Arial" w:hAnsi="Arial"/>
          <w:b/>
          <w:bCs w:val="0"/>
          <w:noProof/>
          <w:color w:val="000000" w:themeColor="text1"/>
          <w:sz w:val="22"/>
          <w:szCs w:val="22"/>
          <w:lang w:val="es-ES" w:eastAsia="en-US"/>
        </w:rPr>
        <w:id w:val="-242798099"/>
        <w:docPartObj>
          <w:docPartGallery w:val="Table of Contents"/>
          <w:docPartUnique/>
        </w:docPartObj>
      </w:sdtPr>
      <w:sdtEndPr>
        <w:rPr>
          <w:bCs/>
          <w:lang w:val="es-CO"/>
        </w:rPr>
      </w:sdtEndPr>
      <w:sdtContent>
        <w:p w14:paraId="1E1138AD" w14:textId="77777777" w:rsidR="00420B6A" w:rsidRDefault="00420B6A" w:rsidP="00E30555">
          <w:pPr>
            <w:pStyle w:val="TtuloTDC"/>
            <w:spacing w:before="0" w:line="276" w:lineRule="auto"/>
            <w:jc w:val="center"/>
            <w:rPr>
              <w:rFonts w:ascii="Arial" w:hAnsi="Arial"/>
              <w:b/>
              <w:bCs w:val="0"/>
              <w:noProof/>
              <w:color w:val="000000" w:themeColor="text1"/>
              <w:sz w:val="22"/>
              <w:szCs w:val="22"/>
              <w:lang w:val="es-ES" w:eastAsia="en-US"/>
            </w:rPr>
          </w:pPr>
        </w:p>
        <w:p w14:paraId="15B7FE9F" w14:textId="77777777" w:rsidR="00420B6A" w:rsidRDefault="00420B6A" w:rsidP="00E30555">
          <w:pPr>
            <w:pStyle w:val="TtuloTDC"/>
            <w:spacing w:before="0" w:line="276" w:lineRule="auto"/>
            <w:jc w:val="center"/>
            <w:rPr>
              <w:rFonts w:ascii="Arial" w:eastAsiaTheme="minorEastAsia" w:hAnsi="Arial"/>
              <w:b/>
              <w:noProof/>
              <w:color w:val="auto"/>
              <w:sz w:val="22"/>
              <w:szCs w:val="22"/>
            </w:rPr>
          </w:pPr>
        </w:p>
        <w:p w14:paraId="4EAFCEF6" w14:textId="77777777" w:rsidR="00420B6A" w:rsidRDefault="00420B6A" w:rsidP="00E30555">
          <w:pPr>
            <w:pStyle w:val="TtuloTDC"/>
            <w:spacing w:before="0" w:line="276" w:lineRule="auto"/>
            <w:jc w:val="center"/>
            <w:rPr>
              <w:rFonts w:ascii="Arial" w:eastAsiaTheme="minorEastAsia" w:hAnsi="Arial"/>
              <w:b/>
              <w:noProof/>
              <w:color w:val="auto"/>
              <w:sz w:val="22"/>
              <w:szCs w:val="22"/>
            </w:rPr>
          </w:pPr>
        </w:p>
        <w:p w14:paraId="49A38BDB" w14:textId="77777777" w:rsidR="00420B6A" w:rsidRDefault="00420B6A" w:rsidP="00E30555">
          <w:pPr>
            <w:pStyle w:val="TtuloTDC"/>
            <w:spacing w:before="0" w:line="276" w:lineRule="auto"/>
            <w:jc w:val="center"/>
            <w:rPr>
              <w:rFonts w:ascii="Arial" w:eastAsiaTheme="minorEastAsia" w:hAnsi="Arial"/>
              <w:b/>
              <w:noProof/>
              <w:color w:val="auto"/>
              <w:sz w:val="22"/>
              <w:szCs w:val="22"/>
            </w:rPr>
          </w:pPr>
        </w:p>
        <w:p w14:paraId="22393E41" w14:textId="77777777" w:rsidR="00E30555" w:rsidRPr="00B73C1F" w:rsidRDefault="00E30555" w:rsidP="00E30555">
          <w:pPr>
            <w:pStyle w:val="TtuloTDC"/>
            <w:spacing w:before="0" w:line="276" w:lineRule="auto"/>
            <w:jc w:val="center"/>
            <w:rPr>
              <w:rFonts w:ascii="Arial" w:eastAsiaTheme="minorEastAsia" w:hAnsi="Arial"/>
              <w:b/>
              <w:noProof/>
              <w:color w:val="auto"/>
              <w:sz w:val="22"/>
              <w:szCs w:val="22"/>
            </w:rPr>
          </w:pPr>
          <w:r w:rsidRPr="00B73C1F">
            <w:rPr>
              <w:rFonts w:ascii="Arial" w:eastAsiaTheme="minorEastAsia" w:hAnsi="Arial"/>
              <w:b/>
              <w:noProof/>
              <w:color w:val="auto"/>
              <w:sz w:val="22"/>
              <w:szCs w:val="22"/>
            </w:rPr>
            <w:t>CONTENIDO</w:t>
          </w:r>
        </w:p>
        <w:p w14:paraId="09161A75" w14:textId="77777777" w:rsidR="00E30555" w:rsidRPr="008E216A" w:rsidRDefault="00E30555" w:rsidP="00E30555">
          <w:pPr>
            <w:spacing w:line="276" w:lineRule="auto"/>
            <w:rPr>
              <w:b/>
              <w:bCs/>
              <w:color w:val="auto"/>
              <w:lang w:eastAsia="es-CO"/>
            </w:rPr>
          </w:pPr>
        </w:p>
        <w:p w14:paraId="2938255C" w14:textId="41925C5F" w:rsidR="00496628" w:rsidRDefault="00E30555">
          <w:pPr>
            <w:pStyle w:val="TDC1"/>
            <w:rPr>
              <w:rFonts w:asciiTheme="minorHAnsi" w:eastAsiaTheme="minorEastAsia" w:hAnsiTheme="minorHAnsi" w:cstheme="minorBidi"/>
              <w:b w:val="0"/>
              <w:bCs w:val="0"/>
              <w:color w:val="auto"/>
              <w:lang w:eastAsia="es-CO"/>
            </w:rPr>
          </w:pPr>
          <w:r w:rsidRPr="008E216A">
            <w:rPr>
              <w:color w:val="auto"/>
            </w:rPr>
            <w:fldChar w:fldCharType="begin"/>
          </w:r>
          <w:r w:rsidRPr="008E216A">
            <w:instrText xml:space="preserve"> TOC \o "1-3" \h \z \u </w:instrText>
          </w:r>
          <w:r w:rsidRPr="008E216A">
            <w:rPr>
              <w:color w:val="auto"/>
            </w:rPr>
            <w:fldChar w:fldCharType="separate"/>
          </w:r>
          <w:hyperlink w:anchor="_Toc188962804" w:history="1">
            <w:r w:rsidR="00496628" w:rsidRPr="00732D1D">
              <w:rPr>
                <w:rStyle w:val="Hipervnculo"/>
              </w:rPr>
              <w:t>INTRODUCCIÓN</w:t>
            </w:r>
            <w:r w:rsidR="00496628">
              <w:rPr>
                <w:webHidden/>
              </w:rPr>
              <w:tab/>
            </w:r>
            <w:r w:rsidR="00496628">
              <w:rPr>
                <w:webHidden/>
              </w:rPr>
              <w:fldChar w:fldCharType="begin"/>
            </w:r>
            <w:r w:rsidR="00496628">
              <w:rPr>
                <w:webHidden/>
              </w:rPr>
              <w:instrText xml:space="preserve"> PAGEREF _Toc188962804 \h </w:instrText>
            </w:r>
            <w:r w:rsidR="00496628">
              <w:rPr>
                <w:webHidden/>
              </w:rPr>
            </w:r>
            <w:r w:rsidR="00496628">
              <w:rPr>
                <w:webHidden/>
              </w:rPr>
              <w:fldChar w:fldCharType="separate"/>
            </w:r>
            <w:r w:rsidR="00496628">
              <w:rPr>
                <w:webHidden/>
              </w:rPr>
              <w:t>3</w:t>
            </w:r>
            <w:r w:rsidR="00496628">
              <w:rPr>
                <w:webHidden/>
              </w:rPr>
              <w:fldChar w:fldCharType="end"/>
            </w:r>
          </w:hyperlink>
        </w:p>
        <w:p w14:paraId="69FDF65D" w14:textId="4E5FC79E" w:rsidR="00496628" w:rsidRDefault="00873CC3">
          <w:pPr>
            <w:pStyle w:val="TDC1"/>
            <w:rPr>
              <w:rFonts w:asciiTheme="minorHAnsi" w:eastAsiaTheme="minorEastAsia" w:hAnsiTheme="minorHAnsi" w:cstheme="minorBidi"/>
              <w:b w:val="0"/>
              <w:bCs w:val="0"/>
              <w:color w:val="auto"/>
              <w:lang w:eastAsia="es-CO"/>
            </w:rPr>
          </w:pPr>
          <w:hyperlink w:anchor="_Toc188962805" w:history="1">
            <w:r w:rsidR="00496628" w:rsidRPr="00732D1D">
              <w:rPr>
                <w:rStyle w:val="Hipervnculo"/>
              </w:rPr>
              <w:t>1.</w:t>
            </w:r>
            <w:r w:rsidR="00496628">
              <w:rPr>
                <w:rFonts w:asciiTheme="minorHAnsi" w:eastAsiaTheme="minorEastAsia" w:hAnsiTheme="minorHAnsi" w:cstheme="minorBidi"/>
                <w:b w:val="0"/>
                <w:bCs w:val="0"/>
                <w:color w:val="auto"/>
                <w:lang w:eastAsia="es-CO"/>
              </w:rPr>
              <w:tab/>
            </w:r>
            <w:r w:rsidR="00496628" w:rsidRPr="00732D1D">
              <w:rPr>
                <w:rStyle w:val="Hipervnculo"/>
              </w:rPr>
              <w:t>JUSTIFICACIÓN</w:t>
            </w:r>
            <w:r w:rsidR="00496628">
              <w:rPr>
                <w:webHidden/>
              </w:rPr>
              <w:tab/>
            </w:r>
            <w:r w:rsidR="00496628">
              <w:rPr>
                <w:webHidden/>
              </w:rPr>
              <w:fldChar w:fldCharType="begin"/>
            </w:r>
            <w:r w:rsidR="00496628">
              <w:rPr>
                <w:webHidden/>
              </w:rPr>
              <w:instrText xml:space="preserve"> PAGEREF _Toc188962805 \h </w:instrText>
            </w:r>
            <w:r w:rsidR="00496628">
              <w:rPr>
                <w:webHidden/>
              </w:rPr>
            </w:r>
            <w:r w:rsidR="00496628">
              <w:rPr>
                <w:webHidden/>
              </w:rPr>
              <w:fldChar w:fldCharType="separate"/>
            </w:r>
            <w:r w:rsidR="00496628">
              <w:rPr>
                <w:webHidden/>
              </w:rPr>
              <w:t>4</w:t>
            </w:r>
            <w:r w:rsidR="00496628">
              <w:rPr>
                <w:webHidden/>
              </w:rPr>
              <w:fldChar w:fldCharType="end"/>
            </w:r>
          </w:hyperlink>
        </w:p>
        <w:p w14:paraId="4EE1339D" w14:textId="21997A01" w:rsidR="00496628" w:rsidRDefault="00873CC3">
          <w:pPr>
            <w:pStyle w:val="TDC1"/>
            <w:rPr>
              <w:rFonts w:asciiTheme="minorHAnsi" w:eastAsiaTheme="minorEastAsia" w:hAnsiTheme="minorHAnsi" w:cstheme="minorBidi"/>
              <w:b w:val="0"/>
              <w:bCs w:val="0"/>
              <w:color w:val="auto"/>
              <w:lang w:eastAsia="es-CO"/>
            </w:rPr>
          </w:pPr>
          <w:hyperlink w:anchor="_Toc188962806" w:history="1">
            <w:r w:rsidR="00496628" w:rsidRPr="00732D1D">
              <w:rPr>
                <w:rStyle w:val="Hipervnculo"/>
              </w:rPr>
              <w:t>2.</w:t>
            </w:r>
            <w:r w:rsidR="00496628">
              <w:rPr>
                <w:rFonts w:asciiTheme="minorHAnsi" w:eastAsiaTheme="minorEastAsia" w:hAnsiTheme="minorHAnsi" w:cstheme="minorBidi"/>
                <w:b w:val="0"/>
                <w:bCs w:val="0"/>
                <w:color w:val="auto"/>
                <w:lang w:eastAsia="es-CO"/>
              </w:rPr>
              <w:tab/>
            </w:r>
            <w:r w:rsidR="00496628" w:rsidRPr="00732D1D">
              <w:rPr>
                <w:rStyle w:val="Hipervnculo"/>
              </w:rPr>
              <w:t>MARCO LEGAL</w:t>
            </w:r>
            <w:r w:rsidR="00496628">
              <w:rPr>
                <w:webHidden/>
              </w:rPr>
              <w:tab/>
            </w:r>
            <w:r w:rsidR="00496628">
              <w:rPr>
                <w:webHidden/>
              </w:rPr>
              <w:fldChar w:fldCharType="begin"/>
            </w:r>
            <w:r w:rsidR="00496628">
              <w:rPr>
                <w:webHidden/>
              </w:rPr>
              <w:instrText xml:space="preserve"> PAGEREF _Toc188962806 \h </w:instrText>
            </w:r>
            <w:r w:rsidR="00496628">
              <w:rPr>
                <w:webHidden/>
              </w:rPr>
            </w:r>
            <w:r w:rsidR="00496628">
              <w:rPr>
                <w:webHidden/>
              </w:rPr>
              <w:fldChar w:fldCharType="separate"/>
            </w:r>
            <w:r w:rsidR="00496628">
              <w:rPr>
                <w:webHidden/>
              </w:rPr>
              <w:t>4</w:t>
            </w:r>
            <w:r w:rsidR="00496628">
              <w:rPr>
                <w:webHidden/>
              </w:rPr>
              <w:fldChar w:fldCharType="end"/>
            </w:r>
          </w:hyperlink>
        </w:p>
        <w:p w14:paraId="3085E21B" w14:textId="784C0564" w:rsidR="00496628" w:rsidRDefault="00873CC3">
          <w:pPr>
            <w:pStyle w:val="TDC1"/>
            <w:rPr>
              <w:rFonts w:asciiTheme="minorHAnsi" w:eastAsiaTheme="minorEastAsia" w:hAnsiTheme="minorHAnsi" w:cstheme="minorBidi"/>
              <w:b w:val="0"/>
              <w:bCs w:val="0"/>
              <w:color w:val="auto"/>
              <w:lang w:eastAsia="es-CO"/>
            </w:rPr>
          </w:pPr>
          <w:hyperlink w:anchor="_Toc188962807" w:history="1">
            <w:r w:rsidR="00496628" w:rsidRPr="00732D1D">
              <w:rPr>
                <w:rStyle w:val="Hipervnculo"/>
              </w:rPr>
              <w:t>3.</w:t>
            </w:r>
            <w:r w:rsidR="00496628">
              <w:rPr>
                <w:rFonts w:asciiTheme="minorHAnsi" w:eastAsiaTheme="minorEastAsia" w:hAnsiTheme="minorHAnsi" w:cstheme="minorBidi"/>
                <w:b w:val="0"/>
                <w:bCs w:val="0"/>
                <w:color w:val="auto"/>
                <w:lang w:eastAsia="es-CO"/>
              </w:rPr>
              <w:tab/>
            </w:r>
            <w:r w:rsidR="00496628" w:rsidRPr="00732D1D">
              <w:rPr>
                <w:rStyle w:val="Hipervnculo"/>
              </w:rPr>
              <w:t>OBJETIVOS</w:t>
            </w:r>
            <w:r w:rsidR="00496628">
              <w:rPr>
                <w:webHidden/>
              </w:rPr>
              <w:tab/>
            </w:r>
            <w:r w:rsidR="00496628">
              <w:rPr>
                <w:webHidden/>
              </w:rPr>
              <w:fldChar w:fldCharType="begin"/>
            </w:r>
            <w:r w:rsidR="00496628">
              <w:rPr>
                <w:webHidden/>
              </w:rPr>
              <w:instrText xml:space="preserve"> PAGEREF _Toc188962807 \h </w:instrText>
            </w:r>
            <w:r w:rsidR="00496628">
              <w:rPr>
                <w:webHidden/>
              </w:rPr>
            </w:r>
            <w:r w:rsidR="00496628">
              <w:rPr>
                <w:webHidden/>
              </w:rPr>
              <w:fldChar w:fldCharType="separate"/>
            </w:r>
            <w:r w:rsidR="00496628">
              <w:rPr>
                <w:webHidden/>
              </w:rPr>
              <w:t>5</w:t>
            </w:r>
            <w:r w:rsidR="00496628">
              <w:rPr>
                <w:webHidden/>
              </w:rPr>
              <w:fldChar w:fldCharType="end"/>
            </w:r>
          </w:hyperlink>
        </w:p>
        <w:p w14:paraId="1B3FF802" w14:textId="6B0F346D" w:rsidR="00496628" w:rsidRDefault="00873CC3">
          <w:pPr>
            <w:pStyle w:val="TDC1"/>
            <w:rPr>
              <w:rFonts w:asciiTheme="minorHAnsi" w:eastAsiaTheme="minorEastAsia" w:hAnsiTheme="minorHAnsi" w:cstheme="minorBidi"/>
              <w:b w:val="0"/>
              <w:bCs w:val="0"/>
              <w:color w:val="auto"/>
              <w:lang w:eastAsia="es-CO"/>
            </w:rPr>
          </w:pPr>
          <w:hyperlink w:anchor="_Toc188962808" w:history="1">
            <w:r w:rsidR="00496628" w:rsidRPr="00732D1D">
              <w:rPr>
                <w:rStyle w:val="Hipervnculo"/>
              </w:rPr>
              <w:t>4.</w:t>
            </w:r>
            <w:r w:rsidR="00496628">
              <w:rPr>
                <w:rFonts w:asciiTheme="minorHAnsi" w:eastAsiaTheme="minorEastAsia" w:hAnsiTheme="minorHAnsi" w:cstheme="minorBidi"/>
                <w:b w:val="0"/>
                <w:bCs w:val="0"/>
                <w:color w:val="auto"/>
                <w:lang w:eastAsia="es-CO"/>
              </w:rPr>
              <w:tab/>
            </w:r>
            <w:r w:rsidR="00496628" w:rsidRPr="00732D1D">
              <w:rPr>
                <w:rStyle w:val="Hipervnculo"/>
              </w:rPr>
              <w:t>ESTRUCTURA Y META:</w:t>
            </w:r>
            <w:r w:rsidR="00496628">
              <w:rPr>
                <w:webHidden/>
              </w:rPr>
              <w:tab/>
            </w:r>
            <w:r w:rsidR="00496628">
              <w:rPr>
                <w:webHidden/>
              </w:rPr>
              <w:fldChar w:fldCharType="begin"/>
            </w:r>
            <w:r w:rsidR="00496628">
              <w:rPr>
                <w:webHidden/>
              </w:rPr>
              <w:instrText xml:space="preserve"> PAGEREF _Toc188962808 \h </w:instrText>
            </w:r>
            <w:r w:rsidR="00496628">
              <w:rPr>
                <w:webHidden/>
              </w:rPr>
            </w:r>
            <w:r w:rsidR="00496628">
              <w:rPr>
                <w:webHidden/>
              </w:rPr>
              <w:fldChar w:fldCharType="separate"/>
            </w:r>
            <w:r w:rsidR="00496628">
              <w:rPr>
                <w:webHidden/>
              </w:rPr>
              <w:t>5</w:t>
            </w:r>
            <w:r w:rsidR="00496628">
              <w:rPr>
                <w:webHidden/>
              </w:rPr>
              <w:fldChar w:fldCharType="end"/>
            </w:r>
          </w:hyperlink>
        </w:p>
        <w:p w14:paraId="001A222C" w14:textId="78C83157" w:rsidR="00496628" w:rsidRDefault="00873CC3">
          <w:pPr>
            <w:pStyle w:val="TDC1"/>
            <w:rPr>
              <w:rFonts w:asciiTheme="minorHAnsi" w:eastAsiaTheme="minorEastAsia" w:hAnsiTheme="minorHAnsi" w:cstheme="minorBidi"/>
              <w:b w:val="0"/>
              <w:bCs w:val="0"/>
              <w:color w:val="auto"/>
              <w:lang w:eastAsia="es-CO"/>
            </w:rPr>
          </w:pPr>
          <w:hyperlink w:anchor="_Toc188962809" w:history="1">
            <w:r w:rsidR="00496628" w:rsidRPr="00732D1D">
              <w:rPr>
                <w:rStyle w:val="Hipervnculo"/>
              </w:rPr>
              <w:t>5.</w:t>
            </w:r>
            <w:r w:rsidR="00496628">
              <w:rPr>
                <w:rFonts w:asciiTheme="minorHAnsi" w:eastAsiaTheme="minorEastAsia" w:hAnsiTheme="minorHAnsi" w:cstheme="minorBidi"/>
                <w:b w:val="0"/>
                <w:bCs w:val="0"/>
                <w:color w:val="auto"/>
                <w:lang w:eastAsia="es-CO"/>
              </w:rPr>
              <w:tab/>
            </w:r>
            <w:r w:rsidR="00496628" w:rsidRPr="00732D1D">
              <w:rPr>
                <w:rStyle w:val="Hipervnculo"/>
              </w:rPr>
              <w:t>ALCANCE</w:t>
            </w:r>
            <w:r w:rsidR="00496628">
              <w:rPr>
                <w:webHidden/>
              </w:rPr>
              <w:tab/>
            </w:r>
            <w:r w:rsidR="00496628">
              <w:rPr>
                <w:webHidden/>
              </w:rPr>
              <w:fldChar w:fldCharType="begin"/>
            </w:r>
            <w:r w:rsidR="00496628">
              <w:rPr>
                <w:webHidden/>
              </w:rPr>
              <w:instrText xml:space="preserve"> PAGEREF _Toc188962809 \h </w:instrText>
            </w:r>
            <w:r w:rsidR="00496628">
              <w:rPr>
                <w:webHidden/>
              </w:rPr>
            </w:r>
            <w:r w:rsidR="00496628">
              <w:rPr>
                <w:webHidden/>
              </w:rPr>
              <w:fldChar w:fldCharType="separate"/>
            </w:r>
            <w:r w:rsidR="00496628">
              <w:rPr>
                <w:webHidden/>
              </w:rPr>
              <w:t>6</w:t>
            </w:r>
            <w:r w:rsidR="00496628">
              <w:rPr>
                <w:webHidden/>
              </w:rPr>
              <w:fldChar w:fldCharType="end"/>
            </w:r>
          </w:hyperlink>
        </w:p>
        <w:p w14:paraId="059DA35E" w14:textId="03B7422C" w:rsidR="00496628" w:rsidRDefault="00873CC3">
          <w:pPr>
            <w:pStyle w:val="TDC1"/>
            <w:rPr>
              <w:rFonts w:asciiTheme="minorHAnsi" w:eastAsiaTheme="minorEastAsia" w:hAnsiTheme="minorHAnsi" w:cstheme="minorBidi"/>
              <w:b w:val="0"/>
              <w:bCs w:val="0"/>
              <w:color w:val="auto"/>
              <w:lang w:eastAsia="es-CO"/>
            </w:rPr>
          </w:pPr>
          <w:hyperlink w:anchor="_Toc188962810" w:history="1">
            <w:r w:rsidR="00496628" w:rsidRPr="00732D1D">
              <w:rPr>
                <w:rStyle w:val="Hipervnculo"/>
              </w:rPr>
              <w:t>6.</w:t>
            </w:r>
            <w:r w:rsidR="00496628">
              <w:rPr>
                <w:rFonts w:asciiTheme="minorHAnsi" w:eastAsiaTheme="minorEastAsia" w:hAnsiTheme="minorHAnsi" w:cstheme="minorBidi"/>
                <w:b w:val="0"/>
                <w:bCs w:val="0"/>
                <w:color w:val="auto"/>
                <w:lang w:eastAsia="es-CO"/>
              </w:rPr>
              <w:tab/>
            </w:r>
            <w:r w:rsidR="00496628" w:rsidRPr="00732D1D">
              <w:rPr>
                <w:rStyle w:val="Hipervnculo"/>
              </w:rPr>
              <w:t>DIAGNÓSTICO</w:t>
            </w:r>
            <w:r w:rsidR="00496628">
              <w:rPr>
                <w:webHidden/>
              </w:rPr>
              <w:tab/>
            </w:r>
            <w:r w:rsidR="00496628">
              <w:rPr>
                <w:webHidden/>
              </w:rPr>
              <w:fldChar w:fldCharType="begin"/>
            </w:r>
            <w:r w:rsidR="00496628">
              <w:rPr>
                <w:webHidden/>
              </w:rPr>
              <w:instrText xml:space="preserve"> PAGEREF _Toc188962810 \h </w:instrText>
            </w:r>
            <w:r w:rsidR="00496628">
              <w:rPr>
                <w:webHidden/>
              </w:rPr>
            </w:r>
            <w:r w:rsidR="00496628">
              <w:rPr>
                <w:webHidden/>
              </w:rPr>
              <w:fldChar w:fldCharType="separate"/>
            </w:r>
            <w:r w:rsidR="00496628">
              <w:rPr>
                <w:webHidden/>
              </w:rPr>
              <w:t>6</w:t>
            </w:r>
            <w:r w:rsidR="00496628">
              <w:rPr>
                <w:webHidden/>
              </w:rPr>
              <w:fldChar w:fldCharType="end"/>
            </w:r>
          </w:hyperlink>
        </w:p>
        <w:p w14:paraId="0B90F52A" w14:textId="2ED33CBB" w:rsidR="00496628" w:rsidRDefault="00873CC3">
          <w:pPr>
            <w:pStyle w:val="TDC1"/>
            <w:rPr>
              <w:rFonts w:asciiTheme="minorHAnsi" w:eastAsiaTheme="minorEastAsia" w:hAnsiTheme="minorHAnsi" w:cstheme="minorBidi"/>
              <w:b w:val="0"/>
              <w:bCs w:val="0"/>
              <w:color w:val="auto"/>
              <w:lang w:eastAsia="es-CO"/>
            </w:rPr>
          </w:pPr>
          <w:hyperlink w:anchor="_Toc188962811" w:history="1">
            <w:r w:rsidR="00496628" w:rsidRPr="00732D1D">
              <w:rPr>
                <w:rStyle w:val="Hipervnculo"/>
              </w:rPr>
              <w:t>7.</w:t>
            </w:r>
            <w:r w:rsidR="00496628">
              <w:rPr>
                <w:rFonts w:asciiTheme="minorHAnsi" w:eastAsiaTheme="minorEastAsia" w:hAnsiTheme="minorHAnsi" w:cstheme="minorBidi"/>
                <w:b w:val="0"/>
                <w:bCs w:val="0"/>
                <w:color w:val="auto"/>
                <w:lang w:eastAsia="es-CO"/>
              </w:rPr>
              <w:tab/>
            </w:r>
            <w:r w:rsidR="00496628" w:rsidRPr="00732D1D">
              <w:rPr>
                <w:rStyle w:val="Hipervnculo"/>
              </w:rPr>
              <w:t>CONTENIDO DEL PLAN ANUAL DE SEGURIDAD Y SALUD EN EL TRABAJO</w:t>
            </w:r>
            <w:r w:rsidR="00496628">
              <w:rPr>
                <w:webHidden/>
              </w:rPr>
              <w:tab/>
            </w:r>
            <w:r w:rsidR="00496628">
              <w:rPr>
                <w:webHidden/>
              </w:rPr>
              <w:fldChar w:fldCharType="begin"/>
            </w:r>
            <w:r w:rsidR="00496628">
              <w:rPr>
                <w:webHidden/>
              </w:rPr>
              <w:instrText xml:space="preserve"> PAGEREF _Toc188962811 \h </w:instrText>
            </w:r>
            <w:r w:rsidR="00496628">
              <w:rPr>
                <w:webHidden/>
              </w:rPr>
            </w:r>
            <w:r w:rsidR="00496628">
              <w:rPr>
                <w:webHidden/>
              </w:rPr>
              <w:fldChar w:fldCharType="separate"/>
            </w:r>
            <w:r w:rsidR="00496628">
              <w:rPr>
                <w:webHidden/>
              </w:rPr>
              <w:t>8</w:t>
            </w:r>
            <w:r w:rsidR="00496628">
              <w:rPr>
                <w:webHidden/>
              </w:rPr>
              <w:fldChar w:fldCharType="end"/>
            </w:r>
          </w:hyperlink>
        </w:p>
        <w:p w14:paraId="531A0DF4" w14:textId="3277B502" w:rsidR="00496628" w:rsidRDefault="00873CC3">
          <w:pPr>
            <w:pStyle w:val="TDC1"/>
            <w:rPr>
              <w:rFonts w:asciiTheme="minorHAnsi" w:eastAsiaTheme="minorEastAsia" w:hAnsiTheme="minorHAnsi" w:cstheme="minorBidi"/>
              <w:b w:val="0"/>
              <w:bCs w:val="0"/>
              <w:color w:val="auto"/>
              <w:lang w:eastAsia="es-CO"/>
            </w:rPr>
          </w:pPr>
          <w:hyperlink w:anchor="_Toc188962812" w:history="1">
            <w:r w:rsidR="00496628" w:rsidRPr="00732D1D">
              <w:rPr>
                <w:rStyle w:val="Hipervnculo"/>
              </w:rPr>
              <w:t>8.</w:t>
            </w:r>
            <w:r w:rsidR="00496628">
              <w:rPr>
                <w:rFonts w:asciiTheme="minorHAnsi" w:eastAsiaTheme="minorEastAsia" w:hAnsiTheme="minorHAnsi" w:cstheme="minorBidi"/>
                <w:b w:val="0"/>
                <w:bCs w:val="0"/>
                <w:color w:val="auto"/>
                <w:lang w:eastAsia="es-CO"/>
              </w:rPr>
              <w:tab/>
            </w:r>
            <w:r w:rsidR="00496628" w:rsidRPr="00732D1D">
              <w:rPr>
                <w:rStyle w:val="Hipervnculo"/>
              </w:rPr>
              <w:t>PRESUPUESTO</w:t>
            </w:r>
            <w:r w:rsidR="00496628">
              <w:rPr>
                <w:webHidden/>
              </w:rPr>
              <w:tab/>
            </w:r>
            <w:r w:rsidR="00496628">
              <w:rPr>
                <w:webHidden/>
              </w:rPr>
              <w:fldChar w:fldCharType="begin"/>
            </w:r>
            <w:r w:rsidR="00496628">
              <w:rPr>
                <w:webHidden/>
              </w:rPr>
              <w:instrText xml:space="preserve"> PAGEREF _Toc188962812 \h </w:instrText>
            </w:r>
            <w:r w:rsidR="00496628">
              <w:rPr>
                <w:webHidden/>
              </w:rPr>
            </w:r>
            <w:r w:rsidR="00496628">
              <w:rPr>
                <w:webHidden/>
              </w:rPr>
              <w:fldChar w:fldCharType="separate"/>
            </w:r>
            <w:r w:rsidR="00496628">
              <w:rPr>
                <w:webHidden/>
              </w:rPr>
              <w:t>21</w:t>
            </w:r>
            <w:r w:rsidR="00496628">
              <w:rPr>
                <w:webHidden/>
              </w:rPr>
              <w:fldChar w:fldCharType="end"/>
            </w:r>
          </w:hyperlink>
        </w:p>
        <w:p w14:paraId="25EAD614" w14:textId="19032892" w:rsidR="00E30555" w:rsidRDefault="00E30555" w:rsidP="00E30555">
          <w:pPr>
            <w:pStyle w:val="TDC1"/>
          </w:pPr>
          <w:r w:rsidRPr="008E216A">
            <w:fldChar w:fldCharType="end"/>
          </w:r>
        </w:p>
      </w:sdtContent>
    </w:sdt>
    <w:p w14:paraId="3D237C95" w14:textId="77777777" w:rsidR="00E30555" w:rsidRDefault="00E30555" w:rsidP="00E30555"/>
    <w:p w14:paraId="156F2644" w14:textId="77777777" w:rsidR="00E30555" w:rsidRDefault="00E30555" w:rsidP="00E30555"/>
    <w:p w14:paraId="641BB2C7" w14:textId="77777777" w:rsidR="00E30555" w:rsidRDefault="00E30555" w:rsidP="00E30555"/>
    <w:p w14:paraId="15A65F5A" w14:textId="77777777" w:rsidR="00E30555" w:rsidRDefault="00E30555" w:rsidP="00E30555"/>
    <w:p w14:paraId="2AA4B81E" w14:textId="77777777" w:rsidR="00E30555" w:rsidRDefault="00E30555" w:rsidP="00E30555"/>
    <w:p w14:paraId="0C382820" w14:textId="77777777" w:rsidR="00E30555" w:rsidRDefault="00E30555" w:rsidP="00E30555"/>
    <w:p w14:paraId="61680334" w14:textId="77777777" w:rsidR="00E30555" w:rsidRDefault="00E30555" w:rsidP="00E30555"/>
    <w:p w14:paraId="6E4FC8D7" w14:textId="77777777" w:rsidR="00E30555" w:rsidRDefault="00E30555" w:rsidP="00E30555"/>
    <w:p w14:paraId="05D8CFFA" w14:textId="77777777" w:rsidR="00E30555" w:rsidRDefault="00E30555" w:rsidP="00E30555"/>
    <w:p w14:paraId="69AF64A3" w14:textId="77777777" w:rsidR="00E30555" w:rsidRDefault="00E30555" w:rsidP="00E30555"/>
    <w:p w14:paraId="08B4B19C" w14:textId="77777777" w:rsidR="00E30555" w:rsidRDefault="00E30555" w:rsidP="00E30555"/>
    <w:p w14:paraId="170E72D5" w14:textId="77777777" w:rsidR="00E30555" w:rsidRDefault="00E30555" w:rsidP="00E30555"/>
    <w:p w14:paraId="205821F5" w14:textId="77777777" w:rsidR="00E30555" w:rsidRDefault="00E30555" w:rsidP="00E30555"/>
    <w:p w14:paraId="701B7FE7" w14:textId="77777777" w:rsidR="00E30555" w:rsidRDefault="00E30555" w:rsidP="00E30555"/>
    <w:p w14:paraId="6A06C131" w14:textId="77777777" w:rsidR="00E30555" w:rsidRDefault="00E30555" w:rsidP="00E30555"/>
    <w:p w14:paraId="202E73CE" w14:textId="77777777" w:rsidR="00E30555" w:rsidRDefault="00E30555" w:rsidP="00E30555"/>
    <w:p w14:paraId="311D7B1B" w14:textId="77777777" w:rsidR="00E30555" w:rsidRDefault="00E30555" w:rsidP="00E30555"/>
    <w:p w14:paraId="53088968" w14:textId="77777777" w:rsidR="00E30555" w:rsidRDefault="00E30555" w:rsidP="00E30555"/>
    <w:p w14:paraId="098C4961" w14:textId="77777777" w:rsidR="00E30555" w:rsidRDefault="00E30555" w:rsidP="00E30555"/>
    <w:p w14:paraId="65E7C59C" w14:textId="77777777" w:rsidR="00E30555" w:rsidRDefault="00E30555" w:rsidP="00E30555"/>
    <w:p w14:paraId="0794D46E" w14:textId="77777777" w:rsidR="00E30555" w:rsidRDefault="00E30555" w:rsidP="00E30555"/>
    <w:p w14:paraId="73A642DE" w14:textId="77777777" w:rsidR="008E2923" w:rsidRDefault="008E2923" w:rsidP="00E30555"/>
    <w:p w14:paraId="4C6046B8" w14:textId="77777777" w:rsidR="008E2923" w:rsidRDefault="008E2923" w:rsidP="00E30555"/>
    <w:p w14:paraId="2485D54A" w14:textId="77777777" w:rsidR="008E2923" w:rsidRDefault="008E2923" w:rsidP="00E30555"/>
    <w:p w14:paraId="3D54468F" w14:textId="77777777" w:rsidR="008E2923" w:rsidRDefault="008E2923" w:rsidP="00E30555"/>
    <w:p w14:paraId="6523AB25" w14:textId="77777777" w:rsidR="00420B6A" w:rsidRDefault="00420B6A" w:rsidP="00E30555">
      <w:pPr>
        <w:pStyle w:val="Ttulo1"/>
        <w:jc w:val="center"/>
        <w:rPr>
          <w:b/>
          <w:color w:val="auto"/>
          <w:sz w:val="24"/>
          <w:szCs w:val="24"/>
        </w:rPr>
      </w:pPr>
    </w:p>
    <w:p w14:paraId="2469AA6C" w14:textId="77777777" w:rsidR="00E30555" w:rsidRPr="00E30555" w:rsidRDefault="00E30555" w:rsidP="00E30555">
      <w:pPr>
        <w:pStyle w:val="Ttulo1"/>
        <w:jc w:val="center"/>
        <w:rPr>
          <w:b/>
          <w:color w:val="auto"/>
          <w:sz w:val="24"/>
          <w:szCs w:val="24"/>
        </w:rPr>
      </w:pPr>
      <w:bookmarkStart w:id="1" w:name="_Toc188962804"/>
      <w:r w:rsidRPr="00E30555">
        <w:rPr>
          <w:b/>
          <w:color w:val="auto"/>
          <w:sz w:val="24"/>
          <w:szCs w:val="24"/>
        </w:rPr>
        <w:t>INTRODUCCIÓN</w:t>
      </w:r>
      <w:bookmarkEnd w:id="1"/>
    </w:p>
    <w:p w14:paraId="04BBAE01" w14:textId="77777777" w:rsidR="00E30555" w:rsidRDefault="00E30555" w:rsidP="00E30555">
      <w:pPr>
        <w:rPr>
          <w:color w:val="auto"/>
        </w:rPr>
      </w:pPr>
    </w:p>
    <w:p w14:paraId="2F0F1BC1" w14:textId="77777777" w:rsidR="00E30555" w:rsidRDefault="00E30555" w:rsidP="00E30555">
      <w:pPr>
        <w:rPr>
          <w:color w:val="auto"/>
        </w:rPr>
      </w:pPr>
      <w:r w:rsidRPr="00516373">
        <w:rPr>
          <w:color w:val="auto"/>
        </w:rPr>
        <w:t>La Superintendencia del Subsidio Familiar de conformidad con lo establecido en el Libro 2, Parte 2, Titulo 4, Capitulo 6 del Decreto 1072 de 2015</w:t>
      </w:r>
      <w:r>
        <w:rPr>
          <w:color w:val="auto"/>
        </w:rPr>
        <w:t xml:space="preserve"> y</w:t>
      </w:r>
      <w:r w:rsidRPr="00516373">
        <w:rPr>
          <w:color w:val="auto"/>
        </w:rPr>
        <w:t xml:space="preserve"> la Resolución 0312 de 2019, en conjunto con la normatividad vigente aplicable, ha diseñado el Sistema de Gestión de la Seguridad y Salud en el Trabajo (SG-SST), el cual tiene como propósito </w:t>
      </w:r>
      <w:r>
        <w:rPr>
          <w:color w:val="auto"/>
        </w:rPr>
        <w:t xml:space="preserve">promover la salud de los trabajadores y prevenir </w:t>
      </w:r>
      <w:r w:rsidRPr="00516373">
        <w:rPr>
          <w:color w:val="auto"/>
        </w:rPr>
        <w:t xml:space="preserve">los riesgos que puedan ocasionar incidentes, accidentes de trabajo y enfermedades </w:t>
      </w:r>
      <w:r>
        <w:rPr>
          <w:color w:val="auto"/>
        </w:rPr>
        <w:t xml:space="preserve">de origen </w:t>
      </w:r>
      <w:r w:rsidRPr="00516373">
        <w:rPr>
          <w:color w:val="auto"/>
        </w:rPr>
        <w:t>laboral</w:t>
      </w:r>
      <w:r>
        <w:rPr>
          <w:color w:val="auto"/>
        </w:rPr>
        <w:t>, garantizando condiciones de trabajo seguras y saludables en los trabajadores.</w:t>
      </w:r>
    </w:p>
    <w:p w14:paraId="71A88836" w14:textId="77777777" w:rsidR="00E30555" w:rsidRDefault="00E30555" w:rsidP="00E30555">
      <w:pPr>
        <w:rPr>
          <w:color w:val="auto"/>
        </w:rPr>
      </w:pPr>
    </w:p>
    <w:p w14:paraId="697E7C4C" w14:textId="77777777" w:rsidR="00E30555" w:rsidRDefault="00E30555" w:rsidP="00E30555">
      <w:pPr>
        <w:rPr>
          <w:color w:val="auto"/>
        </w:rPr>
      </w:pPr>
      <w:r>
        <w:rPr>
          <w:color w:val="auto"/>
        </w:rPr>
        <w:t>E</w:t>
      </w:r>
      <w:r w:rsidRPr="00516373">
        <w:rPr>
          <w:color w:val="auto"/>
        </w:rPr>
        <w:t xml:space="preserve">s por ello que </w:t>
      </w:r>
      <w:r>
        <w:rPr>
          <w:color w:val="auto"/>
        </w:rPr>
        <w:t>anualmente se diseña un</w:t>
      </w:r>
      <w:r w:rsidRPr="00516373">
        <w:rPr>
          <w:color w:val="auto"/>
        </w:rPr>
        <w:t xml:space="preserve"> plan </w:t>
      </w:r>
      <w:r>
        <w:rPr>
          <w:color w:val="auto"/>
        </w:rPr>
        <w:t>para implementar</w:t>
      </w:r>
      <w:r w:rsidRPr="00516373">
        <w:rPr>
          <w:color w:val="auto"/>
        </w:rPr>
        <w:t xml:space="preserve"> el Sistema de Gestión de la Seguridad y Salud en el Trabajo (SG-SST)</w:t>
      </w:r>
      <w:r>
        <w:rPr>
          <w:color w:val="auto"/>
        </w:rPr>
        <w:t xml:space="preserve"> en la Superintendencia del Subsidio Familiar</w:t>
      </w:r>
      <w:r w:rsidRPr="00516373">
        <w:rPr>
          <w:color w:val="auto"/>
        </w:rPr>
        <w:t>, mediante un proceso lógico y por etapas, basado en la mejora contin</w:t>
      </w:r>
      <w:r>
        <w:rPr>
          <w:color w:val="auto"/>
        </w:rPr>
        <w:t>ua través d</w:t>
      </w:r>
      <w:r w:rsidRPr="00516373">
        <w:rPr>
          <w:color w:val="auto"/>
        </w:rPr>
        <w:t>el ciclo PHVA (Planificar, Hacer, Verificar y Actuar), donde se incluye la política, la organización, la planificación, la aplicación, la evaluación, la auditoría y las acciones de mejora con el objetivo de anticipar, reconocer, evaluar y controlar los riesgos que puedan afectar la seguridad y la salud en el trabajo.</w:t>
      </w:r>
    </w:p>
    <w:p w14:paraId="3473530A" w14:textId="77777777" w:rsidR="00E30555" w:rsidRPr="00516373" w:rsidRDefault="00E30555" w:rsidP="00E30555">
      <w:pPr>
        <w:rPr>
          <w:b/>
          <w:color w:val="auto"/>
        </w:rPr>
      </w:pPr>
    </w:p>
    <w:p w14:paraId="474581E5" w14:textId="77777777" w:rsidR="00E30555" w:rsidRDefault="00E30555" w:rsidP="00E30555">
      <w:pPr>
        <w:rPr>
          <w:b/>
          <w:color w:val="auto"/>
        </w:rPr>
      </w:pPr>
      <w:r w:rsidRPr="00516373">
        <w:rPr>
          <w:color w:val="auto"/>
        </w:rPr>
        <w:t xml:space="preserve">Es </w:t>
      </w:r>
      <w:r>
        <w:rPr>
          <w:color w:val="auto"/>
        </w:rPr>
        <w:t>fundamental destacar que el plan anual del</w:t>
      </w:r>
      <w:r w:rsidRPr="00516373">
        <w:rPr>
          <w:color w:val="auto"/>
        </w:rPr>
        <w:t xml:space="preserve"> SG- SST de la Superintendencia del Subsidio Familiar</w:t>
      </w:r>
      <w:r>
        <w:rPr>
          <w:color w:val="auto"/>
        </w:rPr>
        <w:t xml:space="preserve"> está articulado con </w:t>
      </w:r>
      <w:r w:rsidRPr="00516373">
        <w:rPr>
          <w:color w:val="auto"/>
        </w:rPr>
        <w:t xml:space="preserve">el Modelo Integrado de Planeación y Gestión </w:t>
      </w:r>
      <w:r>
        <w:rPr>
          <w:color w:val="auto"/>
        </w:rPr>
        <w:t xml:space="preserve">(MIPG) </w:t>
      </w:r>
      <w:r w:rsidRPr="00516373">
        <w:rPr>
          <w:color w:val="auto"/>
        </w:rPr>
        <w:t>de</w:t>
      </w:r>
      <w:r>
        <w:rPr>
          <w:color w:val="auto"/>
        </w:rPr>
        <w:t>l</w:t>
      </w:r>
      <w:r w:rsidRPr="00516373">
        <w:rPr>
          <w:color w:val="auto"/>
        </w:rPr>
        <w:t xml:space="preserve"> 20</w:t>
      </w:r>
      <w:r>
        <w:rPr>
          <w:color w:val="auto"/>
        </w:rPr>
        <w:t>2</w:t>
      </w:r>
      <w:r>
        <w:rPr>
          <w:b/>
          <w:color w:val="auto"/>
        </w:rPr>
        <w:t>4</w:t>
      </w:r>
      <w:r w:rsidRPr="00516373">
        <w:rPr>
          <w:color w:val="auto"/>
        </w:rPr>
        <w:t xml:space="preserve">, </w:t>
      </w:r>
      <w:r>
        <w:rPr>
          <w:color w:val="auto"/>
        </w:rPr>
        <w:t>tomando en cuenta los lineamientos de</w:t>
      </w:r>
      <w:r w:rsidRPr="00516373">
        <w:rPr>
          <w:color w:val="auto"/>
        </w:rPr>
        <w:t xml:space="preserve"> la dimensión del Talento Humano</w:t>
      </w:r>
      <w:r>
        <w:rPr>
          <w:color w:val="auto"/>
        </w:rPr>
        <w:t>, la cual abarca</w:t>
      </w:r>
      <w:r w:rsidRPr="00516373">
        <w:rPr>
          <w:color w:val="auto"/>
        </w:rPr>
        <w:t xml:space="preserve"> la ruta de la felicidad, </w:t>
      </w:r>
      <w:r>
        <w:rPr>
          <w:color w:val="auto"/>
        </w:rPr>
        <w:t>toda vez que</w:t>
      </w:r>
      <w:r w:rsidRPr="00516373">
        <w:rPr>
          <w:color w:val="auto"/>
        </w:rPr>
        <w:t xml:space="preserve"> esta ruta </w:t>
      </w:r>
      <w:r>
        <w:rPr>
          <w:color w:val="auto"/>
        </w:rPr>
        <w:t xml:space="preserve">plantea la puesta en práctica de actividades que promueven un </w:t>
      </w:r>
      <w:r w:rsidRPr="00516373">
        <w:rPr>
          <w:color w:val="auto"/>
        </w:rPr>
        <w:t xml:space="preserve">entorno laboral </w:t>
      </w:r>
      <w:r>
        <w:rPr>
          <w:color w:val="auto"/>
        </w:rPr>
        <w:t>sano y seguro</w:t>
      </w:r>
      <w:r w:rsidRPr="00516373">
        <w:rPr>
          <w:color w:val="auto"/>
        </w:rPr>
        <w:t xml:space="preserve"> para los colaboradores</w:t>
      </w:r>
      <w:r>
        <w:rPr>
          <w:color w:val="auto"/>
        </w:rPr>
        <w:t>.</w:t>
      </w:r>
      <w:r w:rsidRPr="00516373">
        <w:rPr>
          <w:color w:val="auto"/>
        </w:rPr>
        <w:t xml:space="preserve"> </w:t>
      </w:r>
    </w:p>
    <w:p w14:paraId="5095112C" w14:textId="77777777" w:rsidR="00E30555" w:rsidRDefault="00E30555" w:rsidP="00E30555">
      <w:pPr>
        <w:rPr>
          <w:b/>
          <w:color w:val="auto"/>
          <w:sz w:val="24"/>
          <w:szCs w:val="24"/>
        </w:rPr>
      </w:pPr>
    </w:p>
    <w:p w14:paraId="01C09CCE" w14:textId="77777777" w:rsidR="00E30555" w:rsidRDefault="00E30555" w:rsidP="00E30555">
      <w:pPr>
        <w:rPr>
          <w:b/>
          <w:color w:val="auto"/>
          <w:sz w:val="24"/>
          <w:szCs w:val="24"/>
        </w:rPr>
      </w:pPr>
    </w:p>
    <w:p w14:paraId="554C39D1" w14:textId="77777777" w:rsidR="00E30555" w:rsidRDefault="00E30555" w:rsidP="00E30555">
      <w:pPr>
        <w:rPr>
          <w:b/>
          <w:color w:val="auto"/>
          <w:sz w:val="24"/>
          <w:szCs w:val="24"/>
        </w:rPr>
      </w:pPr>
    </w:p>
    <w:p w14:paraId="6852DC7E" w14:textId="77777777" w:rsidR="00E30555" w:rsidRDefault="00E30555" w:rsidP="00E30555">
      <w:pPr>
        <w:rPr>
          <w:b/>
          <w:color w:val="auto"/>
          <w:sz w:val="24"/>
          <w:szCs w:val="24"/>
        </w:rPr>
      </w:pPr>
    </w:p>
    <w:p w14:paraId="4DE1CF40" w14:textId="77777777" w:rsidR="00E30555" w:rsidRDefault="00E30555" w:rsidP="00E30555">
      <w:pPr>
        <w:rPr>
          <w:b/>
          <w:color w:val="auto"/>
          <w:sz w:val="24"/>
          <w:szCs w:val="24"/>
        </w:rPr>
      </w:pPr>
    </w:p>
    <w:p w14:paraId="6AD89F4B" w14:textId="77777777" w:rsidR="00E30555" w:rsidRDefault="00E30555" w:rsidP="00E30555">
      <w:pPr>
        <w:rPr>
          <w:b/>
          <w:color w:val="auto"/>
          <w:sz w:val="24"/>
          <w:szCs w:val="24"/>
        </w:rPr>
      </w:pPr>
    </w:p>
    <w:p w14:paraId="1363E04F" w14:textId="77777777" w:rsidR="00E30555" w:rsidRDefault="00E30555" w:rsidP="00E30555">
      <w:pPr>
        <w:rPr>
          <w:b/>
          <w:color w:val="auto"/>
          <w:sz w:val="24"/>
          <w:szCs w:val="24"/>
        </w:rPr>
      </w:pPr>
    </w:p>
    <w:p w14:paraId="79A0E514" w14:textId="77777777" w:rsidR="00E30555" w:rsidRDefault="00E30555" w:rsidP="00E30555">
      <w:pPr>
        <w:rPr>
          <w:b/>
          <w:color w:val="auto"/>
          <w:sz w:val="24"/>
          <w:szCs w:val="24"/>
        </w:rPr>
      </w:pPr>
    </w:p>
    <w:p w14:paraId="2C811AD1" w14:textId="77777777" w:rsidR="00E30555" w:rsidRDefault="00E30555" w:rsidP="00E30555">
      <w:pPr>
        <w:rPr>
          <w:b/>
          <w:color w:val="auto"/>
          <w:sz w:val="24"/>
          <w:szCs w:val="24"/>
        </w:rPr>
      </w:pPr>
    </w:p>
    <w:p w14:paraId="6FEE82CA" w14:textId="77777777" w:rsidR="00E30555" w:rsidRDefault="00E30555" w:rsidP="00E30555">
      <w:pPr>
        <w:rPr>
          <w:b/>
          <w:color w:val="auto"/>
          <w:sz w:val="24"/>
          <w:szCs w:val="24"/>
        </w:rPr>
      </w:pPr>
    </w:p>
    <w:p w14:paraId="2C1C686F" w14:textId="77777777" w:rsidR="00E30555" w:rsidRDefault="00E30555" w:rsidP="00E30555">
      <w:pPr>
        <w:rPr>
          <w:b/>
          <w:color w:val="auto"/>
          <w:sz w:val="24"/>
          <w:szCs w:val="24"/>
        </w:rPr>
      </w:pPr>
    </w:p>
    <w:p w14:paraId="58DF3746" w14:textId="77777777" w:rsidR="00E30555" w:rsidRDefault="00E30555" w:rsidP="00E30555">
      <w:pPr>
        <w:rPr>
          <w:b/>
          <w:color w:val="auto"/>
          <w:sz w:val="24"/>
          <w:szCs w:val="24"/>
        </w:rPr>
      </w:pPr>
    </w:p>
    <w:p w14:paraId="0658672D" w14:textId="77777777" w:rsidR="00E30555" w:rsidRDefault="00E30555" w:rsidP="00E30555">
      <w:pPr>
        <w:rPr>
          <w:b/>
          <w:color w:val="auto"/>
          <w:sz w:val="24"/>
          <w:szCs w:val="24"/>
        </w:rPr>
      </w:pPr>
    </w:p>
    <w:p w14:paraId="087AEEA9" w14:textId="77777777" w:rsidR="00E30555" w:rsidRDefault="00E30555" w:rsidP="00E30555">
      <w:pPr>
        <w:rPr>
          <w:b/>
          <w:color w:val="auto"/>
          <w:sz w:val="24"/>
          <w:szCs w:val="24"/>
        </w:rPr>
      </w:pPr>
    </w:p>
    <w:p w14:paraId="6F227D8B" w14:textId="77777777" w:rsidR="00E30555" w:rsidRDefault="00E30555" w:rsidP="00E30555">
      <w:pPr>
        <w:rPr>
          <w:b/>
          <w:color w:val="auto"/>
          <w:sz w:val="24"/>
          <w:szCs w:val="24"/>
        </w:rPr>
      </w:pPr>
    </w:p>
    <w:p w14:paraId="19372786" w14:textId="77777777" w:rsidR="00E30555" w:rsidRDefault="00E30555" w:rsidP="00E30555">
      <w:pPr>
        <w:rPr>
          <w:b/>
          <w:color w:val="auto"/>
          <w:sz w:val="24"/>
          <w:szCs w:val="24"/>
        </w:rPr>
      </w:pPr>
    </w:p>
    <w:p w14:paraId="73F3F40D" w14:textId="77777777" w:rsidR="00E30555" w:rsidRDefault="00E30555" w:rsidP="00E30555">
      <w:pPr>
        <w:rPr>
          <w:b/>
          <w:color w:val="auto"/>
          <w:sz w:val="24"/>
          <w:szCs w:val="24"/>
        </w:rPr>
      </w:pPr>
    </w:p>
    <w:p w14:paraId="70E695A6" w14:textId="77777777" w:rsidR="009478BB" w:rsidRDefault="009478BB" w:rsidP="00E30555">
      <w:pPr>
        <w:rPr>
          <w:b/>
          <w:color w:val="auto"/>
          <w:sz w:val="24"/>
          <w:szCs w:val="24"/>
        </w:rPr>
      </w:pPr>
    </w:p>
    <w:p w14:paraId="5907F61E" w14:textId="77777777" w:rsidR="009478BB" w:rsidRDefault="009478BB" w:rsidP="00E30555">
      <w:pPr>
        <w:rPr>
          <w:b/>
          <w:color w:val="auto"/>
          <w:sz w:val="24"/>
          <w:szCs w:val="24"/>
        </w:rPr>
      </w:pPr>
    </w:p>
    <w:p w14:paraId="2179BDA2" w14:textId="77777777" w:rsidR="009478BB" w:rsidRDefault="009478BB" w:rsidP="00E30555">
      <w:pPr>
        <w:rPr>
          <w:b/>
          <w:color w:val="auto"/>
          <w:sz w:val="24"/>
          <w:szCs w:val="24"/>
        </w:rPr>
      </w:pPr>
    </w:p>
    <w:p w14:paraId="566CB66F" w14:textId="77777777" w:rsidR="009478BB" w:rsidRDefault="009478BB" w:rsidP="00E30555">
      <w:pPr>
        <w:rPr>
          <w:b/>
          <w:color w:val="auto"/>
          <w:sz w:val="24"/>
          <w:szCs w:val="24"/>
        </w:rPr>
      </w:pPr>
    </w:p>
    <w:p w14:paraId="239F9E36" w14:textId="77777777" w:rsidR="00420B6A" w:rsidRPr="00E30555" w:rsidRDefault="00420B6A" w:rsidP="00E30555">
      <w:pPr>
        <w:rPr>
          <w:b/>
          <w:color w:val="auto"/>
          <w:sz w:val="24"/>
          <w:szCs w:val="24"/>
        </w:rPr>
      </w:pPr>
    </w:p>
    <w:p w14:paraId="3D8547F2" w14:textId="77777777" w:rsidR="00E30555" w:rsidRPr="003D53E3"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2" w:name="_Toc90467602"/>
      <w:bookmarkStart w:id="3" w:name="_Toc188962805"/>
      <w:r w:rsidRPr="003D53E3">
        <w:rPr>
          <w:rFonts w:ascii="Arial" w:hAnsi="Arial" w:cs="Arial"/>
          <w:b/>
          <w:color w:val="auto"/>
          <w:sz w:val="24"/>
          <w:szCs w:val="24"/>
        </w:rPr>
        <w:t>JUSTIFICACIÓN</w:t>
      </w:r>
      <w:bookmarkEnd w:id="2"/>
      <w:bookmarkEnd w:id="3"/>
      <w:r w:rsidRPr="003D53E3">
        <w:rPr>
          <w:rFonts w:ascii="Arial" w:hAnsi="Arial" w:cs="Arial"/>
          <w:b/>
          <w:color w:val="auto"/>
          <w:sz w:val="24"/>
          <w:szCs w:val="24"/>
        </w:rPr>
        <w:t xml:space="preserve"> </w:t>
      </w:r>
    </w:p>
    <w:p w14:paraId="3D25EFF2" w14:textId="77777777" w:rsidR="00E30555" w:rsidRDefault="00E30555" w:rsidP="00E30555">
      <w:pPr>
        <w:rPr>
          <w:b/>
          <w:color w:val="auto"/>
          <w:sz w:val="24"/>
          <w:szCs w:val="24"/>
        </w:rPr>
      </w:pPr>
    </w:p>
    <w:p w14:paraId="7372F95E" w14:textId="77777777" w:rsidR="00E30555" w:rsidRDefault="00E30555" w:rsidP="00E30555">
      <w:pPr>
        <w:rPr>
          <w:b/>
          <w:color w:val="auto"/>
        </w:rPr>
      </w:pPr>
      <w:r w:rsidRPr="00516373">
        <w:rPr>
          <w:color w:val="auto"/>
        </w:rPr>
        <w:t>La Superintendencia del Subsidio Familiar es una entidad del orden nacional que reconoce la importancia de su componente humano, por ello, se compromete a cumplir con las disposiciones legales vigentes sobre Riesgos Laborales relacionadas con el Sistema de Gestión de Seguridad y Salud en el Trabajo (SG-SST)</w:t>
      </w:r>
      <w:r>
        <w:rPr>
          <w:color w:val="auto"/>
        </w:rPr>
        <w:t xml:space="preserve"> y </w:t>
      </w:r>
      <w:r w:rsidRPr="00516373">
        <w:rPr>
          <w:color w:val="auto"/>
        </w:rPr>
        <w:t xml:space="preserve">adoptar los referentes técnicos mínimos obligatorios para promover </w:t>
      </w:r>
      <w:r>
        <w:rPr>
          <w:color w:val="auto"/>
        </w:rPr>
        <w:t>la seguridad y salud</w:t>
      </w:r>
      <w:r w:rsidRPr="00516373">
        <w:rPr>
          <w:color w:val="auto"/>
        </w:rPr>
        <w:t xml:space="preserve"> de sus </w:t>
      </w:r>
      <w:r>
        <w:rPr>
          <w:color w:val="auto"/>
        </w:rPr>
        <w:t>colaboradores y prevenir incidentes, accidentes de trabajo y enfermedades de origen laboral.</w:t>
      </w:r>
    </w:p>
    <w:p w14:paraId="1CD57EEA" w14:textId="77777777" w:rsidR="00E30555" w:rsidRDefault="00E30555" w:rsidP="00E30555">
      <w:pPr>
        <w:rPr>
          <w:b/>
          <w:color w:val="auto"/>
        </w:rPr>
      </w:pPr>
    </w:p>
    <w:p w14:paraId="4572A2E9" w14:textId="77777777" w:rsidR="00E30555" w:rsidRPr="00516373" w:rsidRDefault="00E30555" w:rsidP="00E30555">
      <w:pPr>
        <w:rPr>
          <w:b/>
          <w:color w:val="auto"/>
        </w:rPr>
      </w:pPr>
      <w:r w:rsidRPr="000A4D9E">
        <w:rPr>
          <w:color w:val="auto"/>
        </w:rPr>
        <w:t>Para ello, el SG-SST continuará implementando acciones que, promuevan la salud (física, mental y social), fortalezcan los factores protectores frente al consumo de sustancias psicoactivas, permitan identificar los peligros, evaluar los riesgos y aplicar los instrumentos de evaluación, así como las guías de intervención adoptadas por el Ministerio del</w:t>
      </w:r>
      <w:r w:rsidRPr="00516373">
        <w:rPr>
          <w:color w:val="auto"/>
        </w:rPr>
        <w:t xml:space="preserve"> Trabajo, con el fin de evitar y disminuir en la entidad la ocurrencia de accidentes de trabajo</w:t>
      </w:r>
      <w:r>
        <w:rPr>
          <w:color w:val="auto"/>
        </w:rPr>
        <w:t xml:space="preserve"> y</w:t>
      </w:r>
      <w:r w:rsidRPr="00516373">
        <w:rPr>
          <w:color w:val="auto"/>
        </w:rPr>
        <w:t xml:space="preserve"> de enfermedades laborales</w:t>
      </w:r>
      <w:r>
        <w:rPr>
          <w:color w:val="auto"/>
        </w:rPr>
        <w:t xml:space="preserve">. Sumado a lo anterior, el SG-SST continuará </w:t>
      </w:r>
      <w:r w:rsidRPr="00516373">
        <w:rPr>
          <w:color w:val="auto"/>
        </w:rPr>
        <w:t>establec</w:t>
      </w:r>
      <w:r>
        <w:rPr>
          <w:color w:val="auto"/>
        </w:rPr>
        <w:t>iendo</w:t>
      </w:r>
      <w:r w:rsidRPr="00516373">
        <w:rPr>
          <w:color w:val="auto"/>
        </w:rPr>
        <w:t xml:space="preserve"> un plan de preparación y respuesta ante las emergencias.</w:t>
      </w:r>
    </w:p>
    <w:p w14:paraId="59E09E8F" w14:textId="77777777" w:rsidR="00E30555" w:rsidRDefault="00E30555" w:rsidP="00E30555"/>
    <w:p w14:paraId="192FAC98" w14:textId="77777777" w:rsidR="00E30555" w:rsidRPr="00516373" w:rsidRDefault="00E30555" w:rsidP="00E30555">
      <w:pPr>
        <w:rPr>
          <w:b/>
          <w:color w:val="auto"/>
        </w:rPr>
      </w:pPr>
      <w:r w:rsidRPr="00516373">
        <w:rPr>
          <w:color w:val="auto"/>
        </w:rPr>
        <w:t xml:space="preserve">Para lograr </w:t>
      </w:r>
      <w:r>
        <w:rPr>
          <w:color w:val="auto"/>
        </w:rPr>
        <w:t>todo esto</w:t>
      </w:r>
      <w:r w:rsidRPr="00516373">
        <w:rPr>
          <w:color w:val="auto"/>
        </w:rPr>
        <w:t xml:space="preserve">, la Superintendencia de Subsidio Familiar cuenta con los recursos económicos necesarios y el compromiso de todos </w:t>
      </w:r>
      <w:r>
        <w:rPr>
          <w:color w:val="auto"/>
        </w:rPr>
        <w:t>sus colaboradores</w:t>
      </w:r>
      <w:r w:rsidRPr="00516373">
        <w:rPr>
          <w:color w:val="auto"/>
        </w:rPr>
        <w:t xml:space="preserve"> </w:t>
      </w:r>
      <w:r>
        <w:rPr>
          <w:color w:val="auto"/>
        </w:rPr>
        <w:t xml:space="preserve">en pro de </w:t>
      </w:r>
      <w:r w:rsidRPr="00516373">
        <w:rPr>
          <w:color w:val="auto"/>
        </w:rPr>
        <w:t>l</w:t>
      </w:r>
      <w:r>
        <w:rPr>
          <w:color w:val="auto"/>
        </w:rPr>
        <w:t>ograr el</w:t>
      </w:r>
      <w:r w:rsidRPr="00516373">
        <w:rPr>
          <w:color w:val="auto"/>
        </w:rPr>
        <w:t xml:space="preserve"> perfeccionamiento, mantenimiento, cumplimiento</w:t>
      </w:r>
      <w:r>
        <w:rPr>
          <w:color w:val="auto"/>
        </w:rPr>
        <w:t xml:space="preserve">, </w:t>
      </w:r>
      <w:r w:rsidRPr="00516373">
        <w:rPr>
          <w:color w:val="auto"/>
        </w:rPr>
        <w:t xml:space="preserve">seguimiento </w:t>
      </w:r>
      <w:r>
        <w:rPr>
          <w:color w:val="auto"/>
        </w:rPr>
        <w:t xml:space="preserve">y mejoramiento continuo </w:t>
      </w:r>
      <w:r w:rsidRPr="00516373">
        <w:rPr>
          <w:color w:val="auto"/>
        </w:rPr>
        <w:t>del Sistema de Gestión de Seguridad y Salud en el Trabajo</w:t>
      </w:r>
      <w:r>
        <w:rPr>
          <w:color w:val="auto"/>
        </w:rPr>
        <w:t>.</w:t>
      </w:r>
    </w:p>
    <w:p w14:paraId="54FCF21F" w14:textId="77777777" w:rsidR="00E30555" w:rsidRDefault="00E30555" w:rsidP="00E30555"/>
    <w:p w14:paraId="06E1843B" w14:textId="77777777" w:rsidR="00E30555" w:rsidRDefault="00E30555" w:rsidP="00E30555"/>
    <w:p w14:paraId="149A6D4E" w14:textId="77777777" w:rsidR="00E30555" w:rsidRPr="00E30555"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4" w:name="_Toc188962806"/>
      <w:r w:rsidRPr="00E30555">
        <w:rPr>
          <w:rFonts w:ascii="Arial" w:hAnsi="Arial" w:cs="Arial"/>
          <w:b/>
          <w:color w:val="auto"/>
          <w:sz w:val="24"/>
          <w:szCs w:val="24"/>
        </w:rPr>
        <w:t>MARCO LEGAL</w:t>
      </w:r>
      <w:bookmarkEnd w:id="4"/>
    </w:p>
    <w:p w14:paraId="036000B6" w14:textId="77777777" w:rsidR="00E30555" w:rsidRDefault="00E30555" w:rsidP="00E30555">
      <w:pPr>
        <w:pStyle w:val="Ttulo1"/>
        <w:ind w:left="284"/>
        <w:rPr>
          <w:color w:val="auto"/>
          <w:sz w:val="24"/>
          <w:szCs w:val="24"/>
        </w:rPr>
      </w:pPr>
    </w:p>
    <w:tbl>
      <w:tblPr>
        <w:tblW w:w="8642" w:type="dxa"/>
        <w:tblCellMar>
          <w:left w:w="70" w:type="dxa"/>
          <w:right w:w="70" w:type="dxa"/>
        </w:tblCellMar>
        <w:tblLook w:val="04A0" w:firstRow="1" w:lastRow="0" w:firstColumn="1" w:lastColumn="0" w:noHBand="0" w:noVBand="1"/>
      </w:tblPr>
      <w:tblGrid>
        <w:gridCol w:w="3900"/>
        <w:gridCol w:w="4742"/>
      </w:tblGrid>
      <w:tr w:rsidR="00E30555" w:rsidRPr="00D20B95" w14:paraId="2F7FF635" w14:textId="77777777" w:rsidTr="00A91CB1">
        <w:trPr>
          <w:trHeight w:val="300"/>
        </w:trPr>
        <w:tc>
          <w:tcPr>
            <w:tcW w:w="3900" w:type="dxa"/>
            <w:tcBorders>
              <w:top w:val="single" w:sz="4" w:space="0" w:color="auto"/>
              <w:left w:val="single" w:sz="4" w:space="0" w:color="auto"/>
              <w:bottom w:val="single" w:sz="4" w:space="0" w:color="auto"/>
              <w:right w:val="single" w:sz="4" w:space="0" w:color="auto"/>
            </w:tcBorders>
            <w:shd w:val="clear" w:color="000000" w:fill="B4C6E7"/>
            <w:noWrap/>
            <w:hideMark/>
          </w:tcPr>
          <w:p w14:paraId="15080283" w14:textId="77777777" w:rsidR="00E30555" w:rsidRPr="006707D5" w:rsidRDefault="00E30555" w:rsidP="00A91CB1">
            <w:pPr>
              <w:jc w:val="center"/>
              <w:rPr>
                <w:rFonts w:eastAsia="Times New Roman"/>
                <w:b/>
                <w:bCs/>
                <w:lang w:eastAsia="es-CO"/>
              </w:rPr>
            </w:pPr>
            <w:r w:rsidRPr="006707D5">
              <w:rPr>
                <w:rFonts w:eastAsia="Times New Roman"/>
                <w:b/>
                <w:bCs/>
                <w:lang w:eastAsia="es-CO"/>
              </w:rPr>
              <w:t>NORMA</w:t>
            </w:r>
          </w:p>
        </w:tc>
        <w:tc>
          <w:tcPr>
            <w:tcW w:w="4742" w:type="dxa"/>
            <w:tcBorders>
              <w:top w:val="single" w:sz="4" w:space="0" w:color="auto"/>
              <w:left w:val="nil"/>
              <w:bottom w:val="single" w:sz="4" w:space="0" w:color="auto"/>
              <w:right w:val="single" w:sz="4" w:space="0" w:color="auto"/>
            </w:tcBorders>
            <w:shd w:val="clear" w:color="000000" w:fill="B4C6E7"/>
            <w:noWrap/>
            <w:hideMark/>
          </w:tcPr>
          <w:p w14:paraId="6F551E80" w14:textId="77777777" w:rsidR="00E30555" w:rsidRPr="006707D5" w:rsidRDefault="00E30555" w:rsidP="00A91CB1">
            <w:pPr>
              <w:jc w:val="center"/>
              <w:rPr>
                <w:rFonts w:eastAsia="Times New Roman"/>
                <w:b/>
                <w:bCs/>
                <w:lang w:eastAsia="es-CO"/>
              </w:rPr>
            </w:pPr>
            <w:r w:rsidRPr="006707D5">
              <w:rPr>
                <w:rFonts w:eastAsia="Times New Roman"/>
                <w:b/>
                <w:bCs/>
                <w:lang w:eastAsia="es-CO"/>
              </w:rPr>
              <w:t>OBJETO</w:t>
            </w:r>
          </w:p>
        </w:tc>
      </w:tr>
      <w:tr w:rsidR="00E30555" w:rsidRPr="00D20B95" w14:paraId="15E2C098" w14:textId="77777777" w:rsidTr="00A91CB1">
        <w:trPr>
          <w:trHeight w:val="881"/>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5B1523B2" w14:textId="77777777" w:rsidR="00E30555" w:rsidRPr="006707D5" w:rsidRDefault="00E30555" w:rsidP="00A91CB1">
            <w:pPr>
              <w:jc w:val="left"/>
              <w:rPr>
                <w:rFonts w:eastAsia="Times New Roman"/>
                <w:b/>
                <w:lang w:eastAsia="es-CO"/>
              </w:rPr>
            </w:pPr>
            <w:r w:rsidRPr="006707D5">
              <w:rPr>
                <w:rFonts w:eastAsia="Times New Roman"/>
                <w:lang w:eastAsia="es-CO"/>
              </w:rPr>
              <w:t>Resolución 2400 de 1979</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550758B3" w14:textId="77777777" w:rsidR="00E30555" w:rsidRPr="006707D5" w:rsidRDefault="00E30555" w:rsidP="00A91CB1">
            <w:pPr>
              <w:rPr>
                <w:rFonts w:eastAsia="Times New Roman"/>
                <w:b/>
                <w:lang w:eastAsia="es-CO"/>
              </w:rPr>
            </w:pPr>
            <w:r w:rsidRPr="006707D5">
              <w:rPr>
                <w:rFonts w:eastAsia="Times New Roman"/>
                <w:lang w:eastAsia="es-CO"/>
              </w:rPr>
              <w:t>Por la cual se establecen algunas disposiciones sobre vivienda, higiene y seguridad en los establecimientos de trabajo</w:t>
            </w:r>
          </w:p>
        </w:tc>
      </w:tr>
      <w:tr w:rsidR="00E30555" w:rsidRPr="00D20B95" w14:paraId="63ADCEF5" w14:textId="77777777" w:rsidTr="00A91CB1">
        <w:trPr>
          <w:trHeight w:val="98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37033A78" w14:textId="77777777" w:rsidR="00E30555" w:rsidRPr="006707D5" w:rsidRDefault="00E30555" w:rsidP="00A91CB1">
            <w:pPr>
              <w:jc w:val="left"/>
              <w:rPr>
                <w:rFonts w:eastAsia="Times New Roman"/>
                <w:b/>
                <w:lang w:eastAsia="es-CO"/>
              </w:rPr>
            </w:pPr>
            <w:r w:rsidRPr="006707D5">
              <w:rPr>
                <w:rFonts w:eastAsia="Times New Roman"/>
                <w:lang w:eastAsia="es-CO"/>
              </w:rPr>
              <w:t>Ley 1562 de 2012</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11E6F0BA" w14:textId="77777777" w:rsidR="00E30555" w:rsidRPr="006707D5" w:rsidRDefault="00E30555" w:rsidP="00A91CB1">
            <w:pPr>
              <w:rPr>
                <w:rFonts w:eastAsia="Times New Roman"/>
                <w:b/>
                <w:lang w:eastAsia="es-CO"/>
              </w:rPr>
            </w:pPr>
            <w:r w:rsidRPr="006707D5">
              <w:rPr>
                <w:rFonts w:eastAsia="Times New Roman"/>
                <w:lang w:eastAsia="es-CO"/>
              </w:rPr>
              <w:t>Por la cual se modifica el sistema de riesgos laborales y se dictan otras disposiciones en materia de salud ocupaciona</w:t>
            </w:r>
            <w:r>
              <w:rPr>
                <w:rFonts w:eastAsia="Times New Roman"/>
                <w:lang w:eastAsia="es-CO"/>
              </w:rPr>
              <w:t>l</w:t>
            </w:r>
          </w:p>
        </w:tc>
      </w:tr>
      <w:tr w:rsidR="00E30555" w:rsidRPr="00D20B95" w14:paraId="683D3B12" w14:textId="77777777" w:rsidTr="00A91CB1">
        <w:trPr>
          <w:trHeight w:val="127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1DE98079" w14:textId="77777777" w:rsidR="00E30555" w:rsidRPr="006707D5" w:rsidRDefault="00E30555" w:rsidP="00A91CB1">
            <w:pPr>
              <w:jc w:val="left"/>
              <w:rPr>
                <w:rFonts w:eastAsia="Times New Roman"/>
                <w:b/>
                <w:lang w:eastAsia="es-CO"/>
              </w:rPr>
            </w:pPr>
            <w:r w:rsidRPr="006707D5">
              <w:rPr>
                <w:rFonts w:eastAsia="Times New Roman"/>
                <w:lang w:eastAsia="es-CO"/>
              </w:rPr>
              <w:t>Decreto 1072 de 2015, Titulo 4 Capitulo 6</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21F251EA" w14:textId="77777777" w:rsidR="00E30555" w:rsidRPr="006707D5" w:rsidRDefault="00E30555" w:rsidP="00A91CB1">
            <w:pPr>
              <w:rPr>
                <w:rFonts w:eastAsia="Times New Roman"/>
                <w:b/>
                <w:lang w:eastAsia="es-CO"/>
              </w:rPr>
            </w:pPr>
            <w:r w:rsidRPr="006707D5">
              <w:rPr>
                <w:rFonts w:eastAsia="Times New Roman"/>
                <w:lang w:eastAsia="es-CO"/>
              </w:rPr>
              <w:t>Por medio del cual se expide el Decreto Único Reglamentario del Sector Trabajo- Capítulo 6 Sistema de Gestión de la Seguridad y Salud en el Trabajo</w:t>
            </w:r>
          </w:p>
        </w:tc>
      </w:tr>
      <w:tr w:rsidR="00E30555" w:rsidRPr="00D20B95" w14:paraId="6D642CF9" w14:textId="77777777" w:rsidTr="00A91CB1">
        <w:trPr>
          <w:trHeight w:val="97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1010232B" w14:textId="4604ED03" w:rsidR="00E30555" w:rsidRPr="006707D5" w:rsidRDefault="00E30555" w:rsidP="00A91CB1">
            <w:pPr>
              <w:jc w:val="left"/>
              <w:rPr>
                <w:rFonts w:eastAsia="Times New Roman"/>
                <w:b/>
                <w:lang w:eastAsia="es-CO"/>
              </w:rPr>
            </w:pPr>
            <w:r w:rsidRPr="006707D5">
              <w:rPr>
                <w:rFonts w:eastAsia="Times New Roman"/>
                <w:lang w:eastAsia="es-CO"/>
              </w:rPr>
              <w:t xml:space="preserve">Resolución </w:t>
            </w:r>
            <w:r w:rsidR="005F1529">
              <w:rPr>
                <w:rFonts w:eastAsia="Times New Roman"/>
                <w:lang w:eastAsia="es-CO"/>
              </w:rPr>
              <w:t>0</w:t>
            </w:r>
            <w:r w:rsidRPr="006707D5">
              <w:rPr>
                <w:rFonts w:eastAsia="Times New Roman"/>
                <w:lang w:eastAsia="es-CO"/>
              </w:rPr>
              <w:t>312 de 2019</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5621E53D" w14:textId="77777777" w:rsidR="00E30555" w:rsidRPr="006707D5" w:rsidRDefault="00E30555" w:rsidP="00A91CB1">
            <w:pPr>
              <w:rPr>
                <w:rFonts w:eastAsia="Times New Roman"/>
                <w:b/>
                <w:lang w:eastAsia="es-CO"/>
              </w:rPr>
            </w:pPr>
            <w:r w:rsidRPr="006707D5">
              <w:rPr>
                <w:rFonts w:eastAsia="Times New Roman"/>
                <w:lang w:eastAsia="es-CO"/>
              </w:rPr>
              <w:t>Por la cual se definen los Estándares Mínimos del Sistema de Gestión de la Seguridad y Salud en el Trabajo SG-SST</w:t>
            </w:r>
          </w:p>
        </w:tc>
      </w:tr>
    </w:tbl>
    <w:p w14:paraId="371E482A" w14:textId="77777777" w:rsidR="00E30555" w:rsidRDefault="00E30555" w:rsidP="00E30555">
      <w:pPr>
        <w:ind w:left="708" w:right="463"/>
        <w:rPr>
          <w:b/>
          <w:bCs/>
          <w:color w:val="auto"/>
        </w:rPr>
      </w:pPr>
    </w:p>
    <w:p w14:paraId="1FC348E7" w14:textId="77777777" w:rsidR="00B46FAC" w:rsidRDefault="00B46FAC" w:rsidP="00E30555">
      <w:pPr>
        <w:ind w:left="708" w:right="463"/>
        <w:rPr>
          <w:b/>
          <w:bCs/>
          <w:color w:val="auto"/>
        </w:rPr>
      </w:pPr>
    </w:p>
    <w:p w14:paraId="21D09100" w14:textId="77777777" w:rsidR="00D44284" w:rsidRDefault="00D44284" w:rsidP="00E30555">
      <w:pPr>
        <w:ind w:left="708" w:right="463"/>
        <w:rPr>
          <w:b/>
          <w:bCs/>
          <w:color w:val="auto"/>
        </w:rPr>
      </w:pPr>
    </w:p>
    <w:p w14:paraId="595760A0" w14:textId="77777777" w:rsidR="00D44284" w:rsidRDefault="00D44284" w:rsidP="00E30555">
      <w:pPr>
        <w:ind w:left="708" w:right="463"/>
        <w:rPr>
          <w:b/>
          <w:bCs/>
          <w:color w:val="auto"/>
        </w:rPr>
      </w:pPr>
    </w:p>
    <w:p w14:paraId="0822B9BD" w14:textId="77777777" w:rsidR="00E30555" w:rsidRPr="00E30555"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5" w:name="_Toc90467604"/>
      <w:bookmarkStart w:id="6" w:name="_Toc188962807"/>
      <w:bookmarkStart w:id="7" w:name="_Toc512341345"/>
      <w:r w:rsidRPr="00E30555">
        <w:rPr>
          <w:rFonts w:ascii="Arial" w:hAnsi="Arial" w:cs="Arial"/>
          <w:b/>
          <w:color w:val="auto"/>
          <w:sz w:val="24"/>
          <w:szCs w:val="24"/>
        </w:rPr>
        <w:t>OBJETIVOS</w:t>
      </w:r>
      <w:bookmarkEnd w:id="5"/>
      <w:bookmarkEnd w:id="6"/>
      <w:r w:rsidRPr="00E30555">
        <w:rPr>
          <w:rFonts w:ascii="Arial" w:hAnsi="Arial" w:cs="Arial"/>
          <w:b/>
          <w:color w:val="auto"/>
          <w:sz w:val="24"/>
          <w:szCs w:val="24"/>
        </w:rPr>
        <w:t xml:space="preserve"> </w:t>
      </w:r>
    </w:p>
    <w:p w14:paraId="373C3272" w14:textId="77777777" w:rsidR="00E30555" w:rsidRPr="0038196D" w:rsidRDefault="00E30555" w:rsidP="00E30555">
      <w:pPr>
        <w:ind w:left="708" w:right="463"/>
        <w:rPr>
          <w:b/>
          <w:bCs/>
          <w:color w:val="auto"/>
        </w:rPr>
      </w:pPr>
    </w:p>
    <w:p w14:paraId="1B680E64" w14:textId="77777777" w:rsidR="00E30555" w:rsidRPr="0038196D" w:rsidRDefault="00E30555" w:rsidP="00E30555">
      <w:pPr>
        <w:pStyle w:val="Prrafodelista"/>
        <w:numPr>
          <w:ilvl w:val="1"/>
          <w:numId w:val="1"/>
        </w:numPr>
        <w:spacing w:after="200"/>
        <w:ind w:right="463"/>
        <w:rPr>
          <w:b/>
          <w:bCs/>
          <w:sz w:val="24"/>
          <w:szCs w:val="24"/>
        </w:rPr>
      </w:pPr>
      <w:r w:rsidRPr="0038196D">
        <w:rPr>
          <w:b/>
          <w:bCs/>
          <w:sz w:val="24"/>
          <w:szCs w:val="24"/>
        </w:rPr>
        <w:t>OBJETIVO GENERAL</w:t>
      </w:r>
      <w:bookmarkEnd w:id="7"/>
      <w:r w:rsidRPr="0038196D">
        <w:rPr>
          <w:b/>
          <w:bCs/>
          <w:sz w:val="24"/>
          <w:szCs w:val="24"/>
        </w:rPr>
        <w:t xml:space="preserve"> </w:t>
      </w:r>
    </w:p>
    <w:p w14:paraId="01FCD70B" w14:textId="77777777" w:rsidR="00E30555" w:rsidRDefault="00E30555" w:rsidP="00E30555">
      <w:pPr>
        <w:rPr>
          <w:b/>
          <w:color w:val="auto"/>
        </w:rPr>
      </w:pPr>
      <w:r w:rsidRPr="0038196D">
        <w:rPr>
          <w:color w:val="auto"/>
        </w:rPr>
        <w:t xml:space="preserve">Garantizar condiciones de trabajo seguras y saludables </w:t>
      </w:r>
      <w:r>
        <w:rPr>
          <w:color w:val="auto"/>
        </w:rPr>
        <w:t>en</w:t>
      </w:r>
      <w:r w:rsidRPr="0038196D">
        <w:rPr>
          <w:color w:val="auto"/>
        </w:rPr>
        <w:t xml:space="preserve"> las diferentes actividades desarrolladas por </w:t>
      </w:r>
      <w:r>
        <w:rPr>
          <w:color w:val="auto"/>
        </w:rPr>
        <w:t xml:space="preserve">los colaboradores de </w:t>
      </w:r>
      <w:r w:rsidRPr="0038196D">
        <w:rPr>
          <w:color w:val="auto"/>
        </w:rPr>
        <w:t xml:space="preserve">la Superintendencia del Subsidio Familiar, a </w:t>
      </w:r>
      <w:r>
        <w:rPr>
          <w:color w:val="auto"/>
        </w:rPr>
        <w:t xml:space="preserve">partir </w:t>
      </w:r>
      <w:r w:rsidRPr="0038196D">
        <w:rPr>
          <w:color w:val="auto"/>
        </w:rPr>
        <w:t xml:space="preserve">de la </w:t>
      </w:r>
      <w:r>
        <w:rPr>
          <w:color w:val="auto"/>
        </w:rPr>
        <w:t xml:space="preserve">implementación de acciones organizadas a través del ciclo PHVA, que </w:t>
      </w:r>
      <w:r w:rsidRPr="0038196D">
        <w:rPr>
          <w:color w:val="auto"/>
        </w:rPr>
        <w:t>prom</w:t>
      </w:r>
      <w:r>
        <w:rPr>
          <w:color w:val="auto"/>
        </w:rPr>
        <w:t>uevan la salud</w:t>
      </w:r>
      <w:r w:rsidRPr="0038196D">
        <w:rPr>
          <w:color w:val="auto"/>
        </w:rPr>
        <w:t xml:space="preserve"> y preven</w:t>
      </w:r>
      <w:r>
        <w:rPr>
          <w:color w:val="auto"/>
        </w:rPr>
        <w:t>gan incidentes, accidentes de trabajo y enfermedades de origen laboral.</w:t>
      </w:r>
    </w:p>
    <w:p w14:paraId="5BD263C3" w14:textId="77777777" w:rsidR="00E30555" w:rsidRDefault="00E30555" w:rsidP="00E30555">
      <w:pPr>
        <w:rPr>
          <w:b/>
          <w:color w:val="auto"/>
        </w:rPr>
      </w:pPr>
    </w:p>
    <w:p w14:paraId="314A1479" w14:textId="77777777" w:rsidR="00E30555" w:rsidRDefault="00E30555" w:rsidP="00E30555">
      <w:pPr>
        <w:pStyle w:val="Prrafodelista"/>
        <w:numPr>
          <w:ilvl w:val="1"/>
          <w:numId w:val="1"/>
        </w:numPr>
        <w:spacing w:after="200"/>
        <w:ind w:right="463"/>
        <w:rPr>
          <w:b/>
          <w:bCs/>
          <w:sz w:val="24"/>
          <w:szCs w:val="24"/>
        </w:rPr>
      </w:pPr>
      <w:bookmarkStart w:id="8" w:name="_Toc512341346"/>
      <w:r w:rsidRPr="0038196D">
        <w:rPr>
          <w:b/>
          <w:bCs/>
          <w:sz w:val="24"/>
          <w:szCs w:val="24"/>
        </w:rPr>
        <w:t>OBJETIVOS ESPECÍFICOS</w:t>
      </w:r>
      <w:bookmarkEnd w:id="8"/>
      <w:r w:rsidRPr="0038196D">
        <w:rPr>
          <w:b/>
          <w:bCs/>
          <w:sz w:val="24"/>
          <w:szCs w:val="24"/>
        </w:rPr>
        <w:t xml:space="preserve"> </w:t>
      </w:r>
    </w:p>
    <w:p w14:paraId="02002E44" w14:textId="77777777" w:rsidR="00E30555" w:rsidRDefault="00E30555" w:rsidP="00E30555">
      <w:pPr>
        <w:pStyle w:val="Prrafodelista"/>
        <w:spacing w:after="200"/>
        <w:ind w:right="463"/>
        <w:rPr>
          <w:b/>
          <w:bCs/>
          <w:sz w:val="24"/>
          <w:szCs w:val="24"/>
        </w:rPr>
      </w:pPr>
    </w:p>
    <w:p w14:paraId="5FF775A2" w14:textId="27CA9667" w:rsidR="00E30555" w:rsidRPr="00B65D56" w:rsidRDefault="00E30555" w:rsidP="00B65D56">
      <w:pPr>
        <w:pStyle w:val="Prrafodelista"/>
        <w:numPr>
          <w:ilvl w:val="0"/>
          <w:numId w:val="2"/>
        </w:numPr>
        <w:tabs>
          <w:tab w:val="left" w:pos="8647"/>
        </w:tabs>
        <w:ind w:left="360" w:right="49"/>
        <w:rPr>
          <w:bCs/>
          <w:sz w:val="22"/>
          <w:szCs w:val="22"/>
          <w:lang w:val="es-ES"/>
        </w:rPr>
      </w:pPr>
      <w:r w:rsidRPr="00B65D56">
        <w:rPr>
          <w:bCs/>
          <w:sz w:val="22"/>
          <w:szCs w:val="22"/>
          <w:lang w:val="es-ES"/>
        </w:rPr>
        <w:t>Identificar, evaluar los peligros a los que están expuestos los colaboradores d</w:t>
      </w:r>
      <w:r w:rsidR="00B65D56" w:rsidRPr="00B65D56">
        <w:rPr>
          <w:bCs/>
          <w:sz w:val="22"/>
          <w:szCs w:val="22"/>
          <w:lang w:val="es-ES"/>
        </w:rPr>
        <w:t xml:space="preserve">e la </w:t>
      </w:r>
      <w:r w:rsidRPr="00B65D56">
        <w:rPr>
          <w:bCs/>
          <w:sz w:val="22"/>
          <w:szCs w:val="22"/>
          <w:lang w:val="es-ES"/>
        </w:rPr>
        <w:t>Superintendencia del Subsidio Familiar derivados en el desarrollo de las actividades ejecutadas y planificar acciones direccionadas en promover condiciones de trabajo seguras y saludables</w:t>
      </w:r>
    </w:p>
    <w:p w14:paraId="3368A224" w14:textId="77777777" w:rsidR="00E30555" w:rsidRPr="00E30555" w:rsidRDefault="00E30555" w:rsidP="00E30555"/>
    <w:p w14:paraId="50211432" w14:textId="77777777" w:rsidR="00E30555" w:rsidRPr="003B3766" w:rsidRDefault="00E30555" w:rsidP="00E30555">
      <w:pPr>
        <w:pStyle w:val="Prrafodelista"/>
        <w:numPr>
          <w:ilvl w:val="0"/>
          <w:numId w:val="2"/>
        </w:numPr>
        <w:tabs>
          <w:tab w:val="left" w:pos="8647"/>
        </w:tabs>
        <w:ind w:left="360" w:right="49"/>
        <w:rPr>
          <w:bCs/>
          <w:sz w:val="22"/>
          <w:szCs w:val="22"/>
        </w:rPr>
      </w:pPr>
      <w:r w:rsidRPr="003B3766">
        <w:rPr>
          <w:bCs/>
          <w:sz w:val="22"/>
          <w:szCs w:val="22"/>
          <w:lang w:val="es-ES"/>
        </w:rPr>
        <w:t xml:space="preserve">Ejecutar acciones que promuevan la seguridad y salud </w:t>
      </w:r>
      <w:r>
        <w:rPr>
          <w:bCs/>
          <w:sz w:val="22"/>
          <w:szCs w:val="22"/>
          <w:lang w:val="es-ES"/>
        </w:rPr>
        <w:t xml:space="preserve">en el trabajo </w:t>
      </w:r>
      <w:r w:rsidRPr="003B3766">
        <w:rPr>
          <w:bCs/>
          <w:sz w:val="22"/>
          <w:szCs w:val="22"/>
          <w:lang w:val="es-ES"/>
        </w:rPr>
        <w:t xml:space="preserve">y prevengan el riesgo de accidentes, incidentes </w:t>
      </w:r>
      <w:r w:rsidRPr="003B3766">
        <w:rPr>
          <w:bCs/>
          <w:sz w:val="22"/>
          <w:szCs w:val="22"/>
        </w:rPr>
        <w:t>las enfermedades de origen laboral en</w:t>
      </w:r>
      <w:r>
        <w:rPr>
          <w:bCs/>
          <w:sz w:val="22"/>
          <w:szCs w:val="22"/>
          <w:lang w:val="es-ES"/>
        </w:rPr>
        <w:t xml:space="preserve"> los colaboradores de</w:t>
      </w:r>
      <w:r w:rsidRPr="003B3766">
        <w:rPr>
          <w:bCs/>
          <w:sz w:val="22"/>
          <w:szCs w:val="22"/>
        </w:rPr>
        <w:t xml:space="preserve"> la Superin</w:t>
      </w:r>
      <w:r>
        <w:rPr>
          <w:bCs/>
          <w:sz w:val="22"/>
          <w:szCs w:val="22"/>
        </w:rPr>
        <w:t>tendencia del Subsidio Familiar</w:t>
      </w:r>
      <w:r>
        <w:rPr>
          <w:bCs/>
          <w:sz w:val="22"/>
          <w:szCs w:val="22"/>
          <w:lang w:val="es-ES"/>
        </w:rPr>
        <w:t>.</w:t>
      </w:r>
    </w:p>
    <w:p w14:paraId="2010A931" w14:textId="77777777" w:rsidR="00E30555" w:rsidRPr="003B3766" w:rsidRDefault="00E30555" w:rsidP="00E30555">
      <w:pPr>
        <w:pStyle w:val="Prrafodelista"/>
        <w:rPr>
          <w:bCs/>
          <w:sz w:val="22"/>
          <w:szCs w:val="22"/>
        </w:rPr>
      </w:pPr>
    </w:p>
    <w:p w14:paraId="3A378D46" w14:textId="77777777" w:rsidR="00E30555" w:rsidRPr="00600FF0" w:rsidRDefault="00E30555" w:rsidP="00E30555">
      <w:pPr>
        <w:pStyle w:val="Prrafodelista"/>
        <w:numPr>
          <w:ilvl w:val="0"/>
          <w:numId w:val="2"/>
        </w:numPr>
        <w:tabs>
          <w:tab w:val="left" w:pos="8647"/>
        </w:tabs>
        <w:ind w:left="360" w:right="49"/>
        <w:rPr>
          <w:bCs/>
          <w:sz w:val="22"/>
          <w:szCs w:val="22"/>
        </w:rPr>
      </w:pPr>
      <w:r>
        <w:rPr>
          <w:bCs/>
          <w:sz w:val="22"/>
          <w:szCs w:val="22"/>
          <w:lang w:val="es-ES"/>
        </w:rPr>
        <w:t>Medir y evaluar la eficacia de las acciones ejecutadas desde el SG-SST en</w:t>
      </w:r>
      <w:r w:rsidRPr="00600FF0">
        <w:rPr>
          <w:bCs/>
          <w:sz w:val="22"/>
          <w:szCs w:val="22"/>
        </w:rPr>
        <w:t xml:space="preserve"> la Superintendencia del Subsidio Familiar</w:t>
      </w:r>
      <w:r>
        <w:rPr>
          <w:bCs/>
          <w:sz w:val="22"/>
          <w:szCs w:val="22"/>
          <w:lang w:val="es-ES"/>
        </w:rPr>
        <w:t>, orientando procesos de mejoramiento continuos en la entidad</w:t>
      </w:r>
      <w:r>
        <w:rPr>
          <w:bCs/>
          <w:sz w:val="22"/>
          <w:szCs w:val="22"/>
        </w:rPr>
        <w:t>.</w:t>
      </w:r>
    </w:p>
    <w:p w14:paraId="0033936B" w14:textId="77777777" w:rsidR="00E30555" w:rsidRPr="00600FF0" w:rsidRDefault="00E30555" w:rsidP="00E30555">
      <w:pPr>
        <w:pStyle w:val="Prrafodelista"/>
        <w:tabs>
          <w:tab w:val="left" w:pos="8647"/>
        </w:tabs>
        <w:ind w:left="360" w:right="49"/>
        <w:rPr>
          <w:bCs/>
          <w:sz w:val="22"/>
          <w:szCs w:val="22"/>
        </w:rPr>
      </w:pPr>
    </w:p>
    <w:p w14:paraId="55AB334E" w14:textId="77777777" w:rsidR="00E30555" w:rsidRPr="00573581" w:rsidRDefault="00E30555" w:rsidP="00E30555">
      <w:pPr>
        <w:pStyle w:val="Prrafodelista"/>
        <w:numPr>
          <w:ilvl w:val="0"/>
          <w:numId w:val="2"/>
        </w:numPr>
        <w:tabs>
          <w:tab w:val="left" w:pos="8647"/>
        </w:tabs>
        <w:ind w:left="360" w:right="49"/>
        <w:rPr>
          <w:bCs/>
          <w:sz w:val="22"/>
          <w:szCs w:val="22"/>
        </w:rPr>
      </w:pPr>
      <w:r>
        <w:rPr>
          <w:bCs/>
          <w:sz w:val="22"/>
          <w:szCs w:val="22"/>
          <w:lang w:val="es-ES"/>
        </w:rPr>
        <w:t xml:space="preserve">Implementar acciones preventivas o correctivas promoviendo la mejora continua en la implementación del SG-SST en la </w:t>
      </w:r>
      <w:r w:rsidRPr="00600FF0">
        <w:rPr>
          <w:bCs/>
          <w:sz w:val="22"/>
          <w:szCs w:val="22"/>
        </w:rPr>
        <w:t>Superintendencia del Subsidio Familiar</w:t>
      </w:r>
      <w:r>
        <w:rPr>
          <w:bCs/>
          <w:sz w:val="22"/>
          <w:szCs w:val="22"/>
          <w:lang w:val="es-ES"/>
        </w:rPr>
        <w:t>.</w:t>
      </w:r>
    </w:p>
    <w:p w14:paraId="23DC2376" w14:textId="77777777" w:rsidR="00E30555" w:rsidRDefault="00E30555" w:rsidP="00E30555"/>
    <w:p w14:paraId="4F492BD9" w14:textId="77777777" w:rsidR="00E30555" w:rsidRDefault="00E30555" w:rsidP="00E30555"/>
    <w:p w14:paraId="452416B2" w14:textId="77777777" w:rsidR="00E30555" w:rsidRPr="003D53E3"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9" w:name="_Toc90467605"/>
      <w:bookmarkStart w:id="10" w:name="_Toc188962808"/>
      <w:r w:rsidRPr="003D53E3">
        <w:rPr>
          <w:rFonts w:ascii="Arial" w:hAnsi="Arial" w:cs="Arial"/>
          <w:b/>
          <w:color w:val="auto"/>
          <w:sz w:val="24"/>
          <w:szCs w:val="24"/>
        </w:rPr>
        <w:t>ESTRUCTURA Y META:</w:t>
      </w:r>
      <w:bookmarkEnd w:id="9"/>
      <w:bookmarkEnd w:id="10"/>
    </w:p>
    <w:p w14:paraId="148795F7" w14:textId="77777777" w:rsidR="00E30555" w:rsidRDefault="00E30555" w:rsidP="00E30555">
      <w:pPr>
        <w:pStyle w:val="Prrafodelista"/>
        <w:ind w:left="1068" w:right="463"/>
        <w:rPr>
          <w:b/>
        </w:rPr>
      </w:pPr>
    </w:p>
    <w:p w14:paraId="3090DC67" w14:textId="77777777" w:rsidR="00E30555" w:rsidRPr="00573581" w:rsidRDefault="00E30555" w:rsidP="00E30555">
      <w:pPr>
        <w:rPr>
          <w:b/>
          <w:color w:val="auto"/>
        </w:rPr>
      </w:pPr>
      <w:r w:rsidRPr="00573581">
        <w:rPr>
          <w:color w:val="auto"/>
        </w:rPr>
        <w:t xml:space="preserve">La estructura del plan anual del SG-SST, se basa en el análisis </w:t>
      </w:r>
      <w:r>
        <w:rPr>
          <w:color w:val="auto"/>
        </w:rPr>
        <w:t>d</w:t>
      </w:r>
      <w:r w:rsidRPr="00573581">
        <w:rPr>
          <w:color w:val="auto"/>
        </w:rPr>
        <w:t>el año 20</w:t>
      </w:r>
      <w:r>
        <w:rPr>
          <w:color w:val="auto"/>
        </w:rPr>
        <w:t>2</w:t>
      </w:r>
      <w:r w:rsidR="0020229F">
        <w:rPr>
          <w:color w:val="auto"/>
        </w:rPr>
        <w:t>3</w:t>
      </w:r>
      <w:r>
        <w:rPr>
          <w:color w:val="auto"/>
        </w:rPr>
        <w:t xml:space="preserve"> y 202</w:t>
      </w:r>
      <w:r w:rsidR="0020229F">
        <w:rPr>
          <w:color w:val="auto"/>
        </w:rPr>
        <w:t>4</w:t>
      </w:r>
      <w:r w:rsidRPr="00573581">
        <w:rPr>
          <w:color w:val="auto"/>
        </w:rPr>
        <w:t xml:space="preserve"> de la superintendencia de subsidio familiar y la resolución 0312 de 2019, relacionado con los estándares mínimos de cumplimiento.</w:t>
      </w:r>
    </w:p>
    <w:p w14:paraId="406433AF" w14:textId="77777777" w:rsidR="00E30555" w:rsidRPr="005D07A5" w:rsidRDefault="00E30555" w:rsidP="00E30555">
      <w:pPr>
        <w:rPr>
          <w:b/>
          <w:color w:val="auto"/>
          <w:sz w:val="24"/>
          <w:szCs w:val="24"/>
        </w:rPr>
      </w:pPr>
    </w:p>
    <w:p w14:paraId="5F1F995D" w14:textId="77777777" w:rsidR="00E30555" w:rsidRPr="00573581" w:rsidRDefault="00E30555" w:rsidP="00E30555">
      <w:pPr>
        <w:rPr>
          <w:b/>
          <w:color w:val="auto"/>
        </w:rPr>
      </w:pPr>
      <w:r w:rsidRPr="00573581">
        <w:rPr>
          <w:color w:val="auto"/>
        </w:rPr>
        <w:t xml:space="preserve">Todo lo anterior, permitió establecer el plan anual de mejoramiento, cuya meta de alcance es el </w:t>
      </w:r>
      <w:r w:rsidRPr="00744EF5">
        <w:rPr>
          <w:color w:val="auto"/>
        </w:rPr>
        <w:t>100%.</w:t>
      </w:r>
    </w:p>
    <w:p w14:paraId="5A4B67FD" w14:textId="77777777" w:rsidR="00E30555" w:rsidRDefault="00E30555" w:rsidP="00E30555">
      <w:pPr>
        <w:rPr>
          <w:b/>
          <w:color w:val="auto"/>
          <w:sz w:val="24"/>
          <w:szCs w:val="24"/>
        </w:rPr>
      </w:pPr>
    </w:p>
    <w:p w14:paraId="19E141A2" w14:textId="77777777" w:rsidR="00E30555" w:rsidRPr="00573581" w:rsidRDefault="00E30555" w:rsidP="00E30555">
      <w:pPr>
        <w:rPr>
          <w:b/>
          <w:color w:val="auto"/>
        </w:rPr>
      </w:pPr>
      <w:r w:rsidRPr="00573581">
        <w:rPr>
          <w:color w:val="auto"/>
        </w:rPr>
        <w:t>Teniendo en cuenta los procesos de Seguridad y Salud en el Trabajo instaurados en la Superintendencia de Subsidio Familiar desde los años 2016, 2017, 2018</w:t>
      </w:r>
      <w:r>
        <w:rPr>
          <w:color w:val="auto"/>
        </w:rPr>
        <w:t>,</w:t>
      </w:r>
      <w:r w:rsidRPr="00573581">
        <w:rPr>
          <w:color w:val="auto"/>
        </w:rPr>
        <w:t xml:space="preserve"> 2019</w:t>
      </w:r>
      <w:r>
        <w:rPr>
          <w:color w:val="auto"/>
        </w:rPr>
        <w:t>, 2020 y 2021</w:t>
      </w:r>
      <w:r w:rsidRPr="00573581">
        <w:rPr>
          <w:color w:val="auto"/>
        </w:rPr>
        <w:t>,</w:t>
      </w:r>
      <w:r>
        <w:rPr>
          <w:color w:val="auto"/>
        </w:rPr>
        <w:t>2022</w:t>
      </w:r>
      <w:r w:rsidR="004433CC">
        <w:rPr>
          <w:color w:val="auto"/>
        </w:rPr>
        <w:t xml:space="preserve">, </w:t>
      </w:r>
      <w:r>
        <w:rPr>
          <w:color w:val="auto"/>
        </w:rPr>
        <w:t>2023</w:t>
      </w:r>
      <w:r w:rsidRPr="00573581">
        <w:rPr>
          <w:color w:val="auto"/>
        </w:rPr>
        <w:t xml:space="preserve"> </w:t>
      </w:r>
      <w:r w:rsidR="004433CC">
        <w:rPr>
          <w:color w:val="auto"/>
        </w:rPr>
        <w:t xml:space="preserve">y 2024 </w:t>
      </w:r>
      <w:r w:rsidRPr="00573581">
        <w:rPr>
          <w:color w:val="auto"/>
        </w:rPr>
        <w:t xml:space="preserve">se concluye que, la </w:t>
      </w:r>
      <w:r>
        <w:rPr>
          <w:color w:val="auto"/>
        </w:rPr>
        <w:t>entidad</w:t>
      </w:r>
      <w:r w:rsidRPr="00573581">
        <w:rPr>
          <w:color w:val="auto"/>
        </w:rPr>
        <w:t xml:space="preserve"> ha realizado la implementación del sistema en forma progresiva en forma lógica y coherente, mantenido actividades propias y direccionadas para el logro de los objetivos planteados.</w:t>
      </w:r>
    </w:p>
    <w:p w14:paraId="719FACD4" w14:textId="77777777" w:rsidR="00E30555" w:rsidRPr="00573581" w:rsidRDefault="00E30555" w:rsidP="00E30555">
      <w:pPr>
        <w:rPr>
          <w:b/>
          <w:color w:val="auto"/>
        </w:rPr>
      </w:pPr>
    </w:p>
    <w:p w14:paraId="15B63E13" w14:textId="77777777" w:rsidR="00E30555" w:rsidRPr="00573581" w:rsidRDefault="00E30555" w:rsidP="00E30555">
      <w:pPr>
        <w:rPr>
          <w:b/>
          <w:color w:val="auto"/>
        </w:rPr>
      </w:pPr>
      <w:r w:rsidRPr="00573581">
        <w:rPr>
          <w:color w:val="auto"/>
        </w:rPr>
        <w:t>Por lo anterior, después de analizar esta información, se proyectará el cronograma anual, especificando y sintetizando aquellas actividades fundamentales y sustentadas con los programas de vigilancia epidemiológica con los cuales se puede lograr el alcance e impacto del programa durante el año 202</w:t>
      </w:r>
      <w:r w:rsidR="004433CC">
        <w:rPr>
          <w:color w:val="auto"/>
        </w:rPr>
        <w:t>5</w:t>
      </w:r>
      <w:r w:rsidRPr="00573581">
        <w:rPr>
          <w:color w:val="auto"/>
        </w:rPr>
        <w:t>.</w:t>
      </w:r>
    </w:p>
    <w:p w14:paraId="0B781887" w14:textId="77777777" w:rsidR="00E30555" w:rsidRPr="00573581" w:rsidRDefault="00E30555" w:rsidP="00E30555">
      <w:pPr>
        <w:rPr>
          <w:b/>
          <w:color w:val="auto"/>
        </w:rPr>
      </w:pPr>
    </w:p>
    <w:p w14:paraId="19519A4F" w14:textId="77777777" w:rsidR="00E30555" w:rsidRPr="005D07A5" w:rsidRDefault="00E30555" w:rsidP="00E30555">
      <w:pPr>
        <w:rPr>
          <w:b/>
          <w:color w:val="auto"/>
          <w:sz w:val="24"/>
          <w:szCs w:val="24"/>
        </w:rPr>
      </w:pPr>
    </w:p>
    <w:p w14:paraId="6A998311" w14:textId="77777777" w:rsidR="00E30555" w:rsidRPr="003D53E3"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11" w:name="_Toc90467606"/>
      <w:bookmarkStart w:id="12" w:name="_Toc188962809"/>
      <w:r w:rsidRPr="003D53E3">
        <w:rPr>
          <w:rFonts w:ascii="Arial" w:hAnsi="Arial" w:cs="Arial"/>
          <w:b/>
          <w:color w:val="auto"/>
          <w:sz w:val="24"/>
          <w:szCs w:val="24"/>
        </w:rPr>
        <w:t>ALCANCE</w:t>
      </w:r>
      <w:bookmarkEnd w:id="11"/>
      <w:bookmarkEnd w:id="12"/>
    </w:p>
    <w:p w14:paraId="1E461020" w14:textId="77777777" w:rsidR="00E30555" w:rsidRDefault="00E30555" w:rsidP="00E30555">
      <w:pPr>
        <w:pStyle w:val="Default"/>
        <w:tabs>
          <w:tab w:val="left" w:pos="1155"/>
        </w:tabs>
        <w:ind w:left="708" w:right="463"/>
        <w:jc w:val="both"/>
        <w:rPr>
          <w:sz w:val="22"/>
          <w:szCs w:val="22"/>
        </w:rPr>
      </w:pPr>
    </w:p>
    <w:p w14:paraId="00E55327" w14:textId="77777777" w:rsidR="00E30555" w:rsidRDefault="00E30555" w:rsidP="00E30555">
      <w:pPr>
        <w:rPr>
          <w:color w:val="auto"/>
        </w:rPr>
      </w:pPr>
      <w:r>
        <w:rPr>
          <w:color w:val="auto"/>
        </w:rPr>
        <w:t>Dando cumplimiento a lo establecido en la resolución 0312 del 2019 se realizó la evaluación final de estándares mínimos del SG-SST correspondiente al año 202</w:t>
      </w:r>
      <w:r w:rsidR="004433CC">
        <w:rPr>
          <w:color w:val="auto"/>
        </w:rPr>
        <w:t>3</w:t>
      </w:r>
      <w:r>
        <w:rPr>
          <w:color w:val="auto"/>
        </w:rPr>
        <w:t xml:space="preserve"> en la Superintendencia del Subsidio Familiar; a partir de estos resultados y del diagnóstico del año 202</w:t>
      </w:r>
      <w:r w:rsidR="004433CC">
        <w:rPr>
          <w:color w:val="auto"/>
        </w:rPr>
        <w:t>4</w:t>
      </w:r>
      <w:r>
        <w:rPr>
          <w:color w:val="auto"/>
        </w:rPr>
        <w:t xml:space="preserve"> se plantea el</w:t>
      </w:r>
      <w:r w:rsidRPr="00573581">
        <w:rPr>
          <w:color w:val="auto"/>
        </w:rPr>
        <w:t xml:space="preserve"> plan anual</w:t>
      </w:r>
      <w:r>
        <w:rPr>
          <w:color w:val="auto"/>
        </w:rPr>
        <w:t xml:space="preserve"> del sistema y se proyecta el</w:t>
      </w:r>
      <w:r w:rsidRPr="00573581">
        <w:rPr>
          <w:color w:val="auto"/>
        </w:rPr>
        <w:t xml:space="preserve"> cronograma </w:t>
      </w:r>
      <w:r>
        <w:rPr>
          <w:color w:val="auto"/>
        </w:rPr>
        <w:t>a ejecutar para el año 202</w:t>
      </w:r>
      <w:r w:rsidR="004433CC">
        <w:rPr>
          <w:color w:val="auto"/>
        </w:rPr>
        <w:t>5</w:t>
      </w:r>
      <w:r>
        <w:rPr>
          <w:color w:val="auto"/>
        </w:rPr>
        <w:t xml:space="preserve">, el cual toma en cuenta </w:t>
      </w:r>
      <w:r w:rsidRPr="00573581">
        <w:rPr>
          <w:color w:val="auto"/>
        </w:rPr>
        <w:t>los estándares mínimos</w:t>
      </w:r>
      <w:r>
        <w:rPr>
          <w:color w:val="auto"/>
        </w:rPr>
        <w:t xml:space="preserve"> y prioriza</w:t>
      </w:r>
      <w:r w:rsidRPr="00573581">
        <w:rPr>
          <w:color w:val="auto"/>
        </w:rPr>
        <w:t xml:space="preserve"> actividades enmarcadas en la promoción</w:t>
      </w:r>
      <w:r>
        <w:rPr>
          <w:color w:val="auto"/>
        </w:rPr>
        <w:t xml:space="preserve"> de la salud y </w:t>
      </w:r>
      <w:r w:rsidRPr="00573581">
        <w:rPr>
          <w:color w:val="auto"/>
        </w:rPr>
        <w:t>en la minimización y control de riesgos laborales</w:t>
      </w:r>
      <w:r>
        <w:rPr>
          <w:color w:val="auto"/>
        </w:rPr>
        <w:t xml:space="preserve"> que contribuyan a prevenir incidentes, accidentes de trabajo y enfermedades de origen laboral en la entidad. Este plan de trabajo está dirigido a los colaboradores de todas las dependencias de la entidad.</w:t>
      </w:r>
    </w:p>
    <w:p w14:paraId="78B3A321" w14:textId="77777777" w:rsidR="00E30555" w:rsidRDefault="00E30555" w:rsidP="00E30555">
      <w:pPr>
        <w:rPr>
          <w:b/>
          <w:color w:val="auto"/>
        </w:rPr>
      </w:pPr>
    </w:p>
    <w:p w14:paraId="1E863063" w14:textId="77777777" w:rsidR="00B46FAC" w:rsidRDefault="00B46FAC" w:rsidP="00E30555">
      <w:pPr>
        <w:rPr>
          <w:b/>
          <w:color w:val="auto"/>
        </w:rPr>
      </w:pPr>
    </w:p>
    <w:p w14:paraId="1CFB0DAC" w14:textId="77777777" w:rsidR="00E30555" w:rsidRPr="003D53E3"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13" w:name="_Toc90467607"/>
      <w:bookmarkStart w:id="14" w:name="_Toc188962810"/>
      <w:r w:rsidRPr="003D53E3">
        <w:rPr>
          <w:rFonts w:ascii="Arial" w:hAnsi="Arial" w:cs="Arial"/>
          <w:b/>
          <w:color w:val="auto"/>
          <w:sz w:val="24"/>
          <w:szCs w:val="24"/>
        </w:rPr>
        <w:t>DIAGNÓSTICO</w:t>
      </w:r>
      <w:bookmarkEnd w:id="13"/>
      <w:bookmarkEnd w:id="14"/>
    </w:p>
    <w:p w14:paraId="664852CD" w14:textId="77777777" w:rsidR="00E30555" w:rsidRDefault="00E30555" w:rsidP="00E30555">
      <w:pPr>
        <w:pStyle w:val="Prrafodelista"/>
        <w:ind w:left="1068" w:right="463"/>
        <w:rPr>
          <w:b/>
          <w:bCs/>
        </w:rPr>
      </w:pPr>
    </w:p>
    <w:p w14:paraId="7F9D8212" w14:textId="1585A435" w:rsidR="00E30555" w:rsidRDefault="00E30555" w:rsidP="00E30555">
      <w:pPr>
        <w:pStyle w:val="Prrafodelista"/>
        <w:numPr>
          <w:ilvl w:val="1"/>
          <w:numId w:val="1"/>
        </w:numPr>
        <w:spacing w:after="200"/>
        <w:ind w:right="49"/>
        <w:rPr>
          <w:b/>
          <w:bCs/>
          <w:sz w:val="24"/>
          <w:szCs w:val="24"/>
        </w:rPr>
      </w:pPr>
      <w:r w:rsidRPr="005D07A5">
        <w:rPr>
          <w:b/>
          <w:bCs/>
          <w:sz w:val="24"/>
          <w:szCs w:val="24"/>
        </w:rPr>
        <w:t xml:space="preserve">Revisión documental del SG-SST de </w:t>
      </w:r>
      <w:r>
        <w:rPr>
          <w:b/>
          <w:bCs/>
          <w:sz w:val="24"/>
          <w:szCs w:val="24"/>
          <w:lang w:val="es-ES"/>
        </w:rPr>
        <w:t>202</w:t>
      </w:r>
      <w:r w:rsidR="00E7499C">
        <w:rPr>
          <w:b/>
          <w:bCs/>
          <w:sz w:val="24"/>
          <w:szCs w:val="24"/>
          <w:lang w:val="es-ES"/>
        </w:rPr>
        <w:t>4</w:t>
      </w:r>
      <w:r w:rsidR="004433CC">
        <w:rPr>
          <w:b/>
          <w:bCs/>
          <w:sz w:val="24"/>
          <w:szCs w:val="24"/>
          <w:lang w:val="es-ES"/>
        </w:rPr>
        <w:t xml:space="preserve"> </w:t>
      </w:r>
    </w:p>
    <w:p w14:paraId="5893F98E" w14:textId="28CCFC83" w:rsidR="00E30555" w:rsidRPr="00E052FB" w:rsidRDefault="00E30555" w:rsidP="00E30555">
      <w:pPr>
        <w:pStyle w:val="Default"/>
        <w:tabs>
          <w:tab w:val="left" w:pos="0"/>
          <w:tab w:val="left" w:pos="993"/>
        </w:tabs>
        <w:ind w:right="49"/>
        <w:jc w:val="both"/>
        <w:rPr>
          <w:color w:val="auto"/>
          <w:sz w:val="22"/>
          <w:szCs w:val="22"/>
        </w:rPr>
      </w:pPr>
      <w:r>
        <w:rPr>
          <w:sz w:val="22"/>
          <w:szCs w:val="22"/>
        </w:rPr>
        <w:t>Teniendo en cuenta la autoevaluación final del SG-SST realizada del mes de diciembre de 202</w:t>
      </w:r>
      <w:r w:rsidR="005F1529">
        <w:rPr>
          <w:sz w:val="22"/>
          <w:szCs w:val="22"/>
        </w:rPr>
        <w:t>4</w:t>
      </w:r>
      <w:r>
        <w:rPr>
          <w:sz w:val="22"/>
          <w:szCs w:val="22"/>
        </w:rPr>
        <w:t xml:space="preserve"> y de conformidad con los estándares mínimos del SG-SST Resolución No. </w:t>
      </w:r>
      <w:r w:rsidRPr="00CA0850">
        <w:rPr>
          <w:sz w:val="22"/>
          <w:szCs w:val="22"/>
        </w:rPr>
        <w:t xml:space="preserve">0312 </w:t>
      </w:r>
      <w:r>
        <w:rPr>
          <w:sz w:val="22"/>
          <w:szCs w:val="22"/>
        </w:rPr>
        <w:t xml:space="preserve">de </w:t>
      </w:r>
      <w:r w:rsidRPr="00CA0850">
        <w:rPr>
          <w:sz w:val="22"/>
          <w:szCs w:val="22"/>
        </w:rPr>
        <w:t>2019</w:t>
      </w:r>
      <w:r>
        <w:rPr>
          <w:sz w:val="22"/>
          <w:szCs w:val="22"/>
        </w:rPr>
        <w:t xml:space="preserve">, se cumplió con el </w:t>
      </w:r>
      <w:r w:rsidR="005F1529">
        <w:rPr>
          <w:sz w:val="22"/>
          <w:szCs w:val="22"/>
        </w:rPr>
        <w:t>100</w:t>
      </w:r>
      <w:r>
        <w:rPr>
          <w:sz w:val="22"/>
          <w:szCs w:val="22"/>
        </w:rPr>
        <w:t>%</w:t>
      </w:r>
      <w:r w:rsidR="005F1529">
        <w:rPr>
          <w:sz w:val="22"/>
          <w:szCs w:val="22"/>
        </w:rPr>
        <w:t>.</w:t>
      </w:r>
      <w:r>
        <w:rPr>
          <w:sz w:val="22"/>
          <w:szCs w:val="22"/>
        </w:rPr>
        <w:t xml:space="preserve"> </w:t>
      </w:r>
    </w:p>
    <w:p w14:paraId="18922F1A" w14:textId="77777777" w:rsidR="00E30555" w:rsidRDefault="00E30555" w:rsidP="00E30555">
      <w:pPr>
        <w:pStyle w:val="Prrafodelista"/>
        <w:ind w:left="1080" w:right="49"/>
        <w:rPr>
          <w:b/>
          <w:bCs/>
        </w:rPr>
      </w:pPr>
    </w:p>
    <w:p w14:paraId="3B25B1C4" w14:textId="71C80426" w:rsidR="00E30555" w:rsidRPr="00DA787D" w:rsidRDefault="00E30555" w:rsidP="00E30555">
      <w:pPr>
        <w:pStyle w:val="Prrafodelista"/>
        <w:numPr>
          <w:ilvl w:val="1"/>
          <w:numId w:val="1"/>
        </w:numPr>
        <w:spacing w:after="200"/>
        <w:ind w:right="49"/>
        <w:rPr>
          <w:b/>
          <w:bCs/>
          <w:sz w:val="24"/>
          <w:szCs w:val="24"/>
        </w:rPr>
      </w:pPr>
      <w:r w:rsidRPr="00DA787D">
        <w:rPr>
          <w:b/>
          <w:bCs/>
          <w:sz w:val="24"/>
          <w:szCs w:val="24"/>
        </w:rPr>
        <w:t xml:space="preserve">Vigilancia Epidemiológica </w:t>
      </w:r>
      <w:r w:rsidRPr="00DA787D">
        <w:rPr>
          <w:b/>
          <w:bCs/>
          <w:sz w:val="24"/>
          <w:szCs w:val="24"/>
          <w:lang w:val="es-ES"/>
        </w:rPr>
        <w:t>Resultados 202</w:t>
      </w:r>
      <w:r w:rsidR="00E7499C">
        <w:rPr>
          <w:b/>
          <w:bCs/>
          <w:sz w:val="24"/>
          <w:szCs w:val="24"/>
          <w:lang w:val="es-ES"/>
        </w:rPr>
        <w:t>4</w:t>
      </w:r>
    </w:p>
    <w:p w14:paraId="30218452" w14:textId="77777777" w:rsidR="00E30555" w:rsidRDefault="00E30555" w:rsidP="00E30555">
      <w:pPr>
        <w:pStyle w:val="Default"/>
        <w:tabs>
          <w:tab w:val="left" w:pos="1155"/>
        </w:tabs>
        <w:ind w:right="49"/>
        <w:jc w:val="both"/>
        <w:rPr>
          <w:sz w:val="22"/>
          <w:szCs w:val="22"/>
        </w:rPr>
      </w:pPr>
      <w:r>
        <w:rPr>
          <w:sz w:val="22"/>
          <w:szCs w:val="22"/>
        </w:rPr>
        <w:t>La entidad cuenta con los resultados del programa de vigilancia epidemiológica (SVE) para el control del riesgo cardiovascular, Biomecánico y psicosocial</w:t>
      </w:r>
      <w:r w:rsidRPr="00D954E7">
        <w:rPr>
          <w:color w:val="auto"/>
          <w:sz w:val="22"/>
          <w:szCs w:val="22"/>
        </w:rPr>
        <w:t xml:space="preserve">. </w:t>
      </w:r>
    </w:p>
    <w:p w14:paraId="10DE08A5" w14:textId="77777777" w:rsidR="00E30555" w:rsidRDefault="00E30555" w:rsidP="00E30555">
      <w:pPr>
        <w:pStyle w:val="Default"/>
        <w:tabs>
          <w:tab w:val="left" w:pos="1155"/>
        </w:tabs>
        <w:ind w:right="49"/>
        <w:jc w:val="both"/>
        <w:rPr>
          <w:sz w:val="22"/>
          <w:szCs w:val="22"/>
        </w:rPr>
      </w:pPr>
    </w:p>
    <w:p w14:paraId="2AC33D27" w14:textId="77777777" w:rsidR="00E30555" w:rsidRPr="004A6429" w:rsidRDefault="00E30555" w:rsidP="00E30555">
      <w:pPr>
        <w:pStyle w:val="Prrafodelista"/>
        <w:numPr>
          <w:ilvl w:val="1"/>
          <w:numId w:val="1"/>
        </w:numPr>
        <w:spacing w:after="200"/>
        <w:ind w:right="49"/>
        <w:rPr>
          <w:b/>
          <w:bCs/>
          <w:sz w:val="24"/>
          <w:szCs w:val="24"/>
        </w:rPr>
      </w:pPr>
      <w:r w:rsidRPr="004A6429">
        <w:rPr>
          <w:b/>
          <w:bCs/>
          <w:sz w:val="24"/>
          <w:szCs w:val="24"/>
        </w:rPr>
        <w:t xml:space="preserve">Condiciones de Salud: </w:t>
      </w:r>
    </w:p>
    <w:p w14:paraId="1F0DD132" w14:textId="19F6A1A2" w:rsidR="00E30555" w:rsidRDefault="004433CC" w:rsidP="00E30555">
      <w:pPr>
        <w:pStyle w:val="Default"/>
        <w:tabs>
          <w:tab w:val="left" w:pos="1155"/>
        </w:tabs>
        <w:jc w:val="both"/>
        <w:rPr>
          <w:sz w:val="22"/>
          <w:szCs w:val="22"/>
        </w:rPr>
      </w:pPr>
      <w:r>
        <w:rPr>
          <w:sz w:val="22"/>
          <w:szCs w:val="22"/>
        </w:rPr>
        <w:t>Se tendrá en cuenta para este informe los resultados del</w:t>
      </w:r>
      <w:r w:rsidR="00E30555" w:rsidRPr="00DE7AB2">
        <w:rPr>
          <w:sz w:val="22"/>
          <w:szCs w:val="22"/>
        </w:rPr>
        <w:t xml:space="preserve"> periodo comprendido entre enero a diciembre de 202</w:t>
      </w:r>
      <w:r w:rsidR="001B672C">
        <w:rPr>
          <w:sz w:val="22"/>
          <w:szCs w:val="22"/>
        </w:rPr>
        <w:t>4</w:t>
      </w:r>
      <w:r w:rsidR="00E30555" w:rsidRPr="00DE7AB2">
        <w:rPr>
          <w:sz w:val="22"/>
          <w:szCs w:val="22"/>
        </w:rPr>
        <w:t xml:space="preserve"> </w:t>
      </w:r>
      <w:r>
        <w:rPr>
          <w:sz w:val="22"/>
          <w:szCs w:val="22"/>
        </w:rPr>
        <w:t xml:space="preserve">del informe de condiciones establecido de la </w:t>
      </w:r>
      <w:r w:rsidR="00E30555" w:rsidRPr="00DE7AB2">
        <w:rPr>
          <w:sz w:val="22"/>
          <w:szCs w:val="22"/>
        </w:rPr>
        <w:t>realización de ciento</w:t>
      </w:r>
      <w:r w:rsidR="001B672C">
        <w:rPr>
          <w:sz w:val="22"/>
          <w:szCs w:val="22"/>
        </w:rPr>
        <w:t xml:space="preserve"> veinticinco</w:t>
      </w:r>
      <w:r w:rsidR="00E30555" w:rsidRPr="00DE7AB2">
        <w:rPr>
          <w:sz w:val="22"/>
          <w:szCs w:val="22"/>
        </w:rPr>
        <w:t xml:space="preserve"> (1</w:t>
      </w:r>
      <w:r w:rsidR="001B672C">
        <w:rPr>
          <w:sz w:val="22"/>
          <w:szCs w:val="22"/>
        </w:rPr>
        <w:t>25</w:t>
      </w:r>
      <w:r w:rsidR="00E30555" w:rsidRPr="00DE7AB2">
        <w:rPr>
          <w:sz w:val="22"/>
          <w:szCs w:val="22"/>
        </w:rPr>
        <w:t xml:space="preserve">) exámenes médicos </w:t>
      </w:r>
      <w:r w:rsidR="001B672C">
        <w:rPr>
          <w:sz w:val="22"/>
          <w:szCs w:val="22"/>
        </w:rPr>
        <w:t xml:space="preserve">ocupacionales encontrándose </w:t>
      </w:r>
      <w:r w:rsidR="00E30555" w:rsidRPr="00DE7AB2">
        <w:rPr>
          <w:sz w:val="22"/>
          <w:szCs w:val="22"/>
        </w:rPr>
        <w:t xml:space="preserve">lo siguiente: </w:t>
      </w:r>
    </w:p>
    <w:p w14:paraId="701F1E56" w14:textId="77777777" w:rsidR="00E30555" w:rsidRPr="00DE7AB2" w:rsidRDefault="00E30555" w:rsidP="00E30555">
      <w:pPr>
        <w:pStyle w:val="Default"/>
        <w:tabs>
          <w:tab w:val="left" w:pos="1155"/>
        </w:tabs>
        <w:jc w:val="both"/>
        <w:rPr>
          <w:sz w:val="22"/>
          <w:szCs w:val="22"/>
        </w:rPr>
      </w:pPr>
    </w:p>
    <w:p w14:paraId="74DBCBC4" w14:textId="77777777" w:rsidR="00E30555" w:rsidRPr="006F12C5" w:rsidRDefault="00E30555" w:rsidP="00E30555">
      <w:pPr>
        <w:pStyle w:val="Default"/>
        <w:tabs>
          <w:tab w:val="left" w:pos="1155"/>
        </w:tabs>
        <w:jc w:val="both"/>
        <w:rPr>
          <w:b/>
          <w:bCs/>
          <w:sz w:val="22"/>
          <w:szCs w:val="22"/>
        </w:rPr>
      </w:pPr>
      <w:r w:rsidRPr="006F12C5">
        <w:rPr>
          <w:b/>
          <w:bCs/>
          <w:sz w:val="22"/>
          <w:szCs w:val="22"/>
        </w:rPr>
        <w:t>A</w:t>
      </w:r>
      <w:r>
        <w:rPr>
          <w:b/>
          <w:bCs/>
          <w:sz w:val="22"/>
          <w:szCs w:val="22"/>
        </w:rPr>
        <w:t>.</w:t>
      </w:r>
      <w:r w:rsidRPr="00DE7AB2">
        <w:rPr>
          <w:sz w:val="22"/>
          <w:szCs w:val="22"/>
        </w:rPr>
        <w:t xml:space="preserve"> </w:t>
      </w:r>
      <w:r>
        <w:rPr>
          <w:b/>
          <w:bCs/>
          <w:sz w:val="22"/>
          <w:szCs w:val="22"/>
        </w:rPr>
        <w:t>En cuanto al perfil sociodemográfico se puede concluir</w:t>
      </w:r>
      <w:r w:rsidRPr="00DE7AB2">
        <w:rPr>
          <w:sz w:val="22"/>
          <w:szCs w:val="22"/>
        </w:rPr>
        <w:t xml:space="preserve">: </w:t>
      </w:r>
    </w:p>
    <w:p w14:paraId="2F25083A" w14:textId="77777777" w:rsidR="00E30555" w:rsidRDefault="00E30555" w:rsidP="00E30555">
      <w:pPr>
        <w:pStyle w:val="Default"/>
        <w:tabs>
          <w:tab w:val="left" w:pos="1155"/>
        </w:tabs>
        <w:jc w:val="both"/>
        <w:rPr>
          <w:sz w:val="22"/>
          <w:szCs w:val="22"/>
        </w:rPr>
      </w:pPr>
    </w:p>
    <w:p w14:paraId="45309F64" w14:textId="77777777" w:rsidR="001B672C" w:rsidRDefault="001B672C" w:rsidP="00E30555">
      <w:pPr>
        <w:pStyle w:val="Default"/>
        <w:tabs>
          <w:tab w:val="left" w:pos="1155"/>
        </w:tabs>
        <w:jc w:val="both"/>
        <w:rPr>
          <w:sz w:val="22"/>
          <w:szCs w:val="22"/>
        </w:rPr>
      </w:pPr>
      <w:r w:rsidRPr="001B672C">
        <w:rPr>
          <w:sz w:val="22"/>
          <w:szCs w:val="22"/>
        </w:rPr>
        <w:t>La población de la SUPERINTENDENCIA DEL SUBSIDIO FAMILIAR., se encuentra distribuida en los diferentes rangos etarios, donde el 43.20% del grupo evaluado se encuentra entre los 51 o más años. Los funcionarios de la entidad se encuentran en rangos de edad considerados como productivos.</w:t>
      </w:r>
    </w:p>
    <w:p w14:paraId="18D9DD7E" w14:textId="77777777" w:rsidR="007354B7" w:rsidRDefault="007354B7" w:rsidP="00E30555">
      <w:pPr>
        <w:pStyle w:val="Default"/>
        <w:tabs>
          <w:tab w:val="left" w:pos="1155"/>
        </w:tabs>
        <w:jc w:val="both"/>
        <w:rPr>
          <w:sz w:val="22"/>
          <w:szCs w:val="22"/>
        </w:rPr>
      </w:pPr>
    </w:p>
    <w:p w14:paraId="6EEE5F04" w14:textId="46432471" w:rsidR="001B672C" w:rsidRPr="001B672C" w:rsidRDefault="001B672C" w:rsidP="00E30555">
      <w:pPr>
        <w:pStyle w:val="Default"/>
        <w:tabs>
          <w:tab w:val="left" w:pos="1155"/>
        </w:tabs>
        <w:jc w:val="both"/>
        <w:rPr>
          <w:sz w:val="22"/>
          <w:szCs w:val="22"/>
        </w:rPr>
      </w:pPr>
      <w:r w:rsidRPr="001B672C">
        <w:rPr>
          <w:sz w:val="22"/>
          <w:szCs w:val="22"/>
        </w:rPr>
        <w:t>De acuerdo con la distribución por sexo biológico, predominan las personas de género femenino representando el 54.40% que corresponde a sesenta y ocho (68) funcionarios.</w:t>
      </w:r>
    </w:p>
    <w:p w14:paraId="67AB46B6" w14:textId="4AA7A7BF" w:rsidR="001B672C" w:rsidRPr="001B672C" w:rsidRDefault="001B672C" w:rsidP="00E30555">
      <w:pPr>
        <w:pStyle w:val="Default"/>
        <w:tabs>
          <w:tab w:val="left" w:pos="1155"/>
        </w:tabs>
        <w:jc w:val="both"/>
        <w:rPr>
          <w:sz w:val="22"/>
          <w:szCs w:val="22"/>
        </w:rPr>
      </w:pPr>
      <w:r w:rsidRPr="001B672C">
        <w:rPr>
          <w:sz w:val="22"/>
          <w:szCs w:val="22"/>
        </w:rPr>
        <w:t>Respecto a los niveles de escolaridad se evidencia que un 42.40% del personal cuenta con especialización completa. La entidad cuenta con un buen nivel de formación, dato importante para las capacitaciones del SG-SST</w:t>
      </w:r>
    </w:p>
    <w:p w14:paraId="01ABC8FB" w14:textId="77777777" w:rsidR="001B672C" w:rsidRPr="001B672C" w:rsidRDefault="001B672C" w:rsidP="00E30555">
      <w:pPr>
        <w:pStyle w:val="Default"/>
        <w:tabs>
          <w:tab w:val="left" w:pos="1155"/>
        </w:tabs>
        <w:jc w:val="both"/>
        <w:rPr>
          <w:sz w:val="22"/>
          <w:szCs w:val="22"/>
        </w:rPr>
      </w:pPr>
    </w:p>
    <w:p w14:paraId="23DCFDFF" w14:textId="77777777" w:rsidR="001B672C" w:rsidRDefault="001B672C" w:rsidP="00E30555">
      <w:pPr>
        <w:pStyle w:val="Default"/>
        <w:tabs>
          <w:tab w:val="left" w:pos="1155"/>
        </w:tabs>
        <w:jc w:val="both"/>
        <w:rPr>
          <w:sz w:val="22"/>
          <w:szCs w:val="22"/>
        </w:rPr>
      </w:pPr>
    </w:p>
    <w:p w14:paraId="20D3ABF7" w14:textId="77777777" w:rsidR="001B672C" w:rsidRDefault="001B672C" w:rsidP="00E30555">
      <w:pPr>
        <w:pStyle w:val="Default"/>
        <w:tabs>
          <w:tab w:val="left" w:pos="1155"/>
        </w:tabs>
        <w:jc w:val="both"/>
        <w:rPr>
          <w:sz w:val="22"/>
          <w:szCs w:val="22"/>
        </w:rPr>
      </w:pPr>
    </w:p>
    <w:p w14:paraId="7E0EFD4D" w14:textId="5EAA021A" w:rsidR="001B672C" w:rsidRPr="001B672C" w:rsidRDefault="001B672C" w:rsidP="00E30555">
      <w:pPr>
        <w:pStyle w:val="Default"/>
        <w:tabs>
          <w:tab w:val="left" w:pos="1155"/>
        </w:tabs>
        <w:jc w:val="both"/>
        <w:rPr>
          <w:sz w:val="22"/>
          <w:szCs w:val="22"/>
        </w:rPr>
      </w:pPr>
      <w:r w:rsidRPr="001B672C">
        <w:rPr>
          <w:sz w:val="22"/>
          <w:szCs w:val="22"/>
        </w:rPr>
        <w:lastRenderedPageBreak/>
        <w:t>Del grupo valorado la mayoría tienen relación de pareja, dada por quienes se encuentran casados o están en unión libre y representan el 60</w:t>
      </w:r>
      <w:r>
        <w:rPr>
          <w:sz w:val="22"/>
          <w:szCs w:val="22"/>
        </w:rPr>
        <w:t>%</w:t>
      </w:r>
    </w:p>
    <w:p w14:paraId="4F69C181" w14:textId="77777777" w:rsidR="00E30555" w:rsidRDefault="00E30555" w:rsidP="00E30555">
      <w:pPr>
        <w:pStyle w:val="Default"/>
        <w:tabs>
          <w:tab w:val="left" w:pos="1155"/>
        </w:tabs>
        <w:jc w:val="both"/>
        <w:rPr>
          <w:b/>
          <w:bCs/>
          <w:sz w:val="22"/>
          <w:szCs w:val="22"/>
        </w:rPr>
      </w:pPr>
    </w:p>
    <w:p w14:paraId="273144A9" w14:textId="77777777" w:rsidR="00E30555" w:rsidRDefault="00E30555" w:rsidP="00E30555">
      <w:pPr>
        <w:pStyle w:val="Default"/>
        <w:tabs>
          <w:tab w:val="left" w:pos="1155"/>
        </w:tabs>
        <w:jc w:val="both"/>
        <w:rPr>
          <w:sz w:val="22"/>
          <w:szCs w:val="22"/>
        </w:rPr>
      </w:pPr>
      <w:r w:rsidRPr="00932ECE">
        <w:rPr>
          <w:b/>
          <w:bCs/>
          <w:sz w:val="22"/>
          <w:szCs w:val="22"/>
        </w:rPr>
        <w:t>B. Respecto a los hábitos tóxicos</w:t>
      </w:r>
      <w:r w:rsidRPr="00932ECE">
        <w:rPr>
          <w:sz w:val="22"/>
          <w:szCs w:val="22"/>
        </w:rPr>
        <w:t>:</w:t>
      </w:r>
    </w:p>
    <w:p w14:paraId="2823D639" w14:textId="77777777" w:rsidR="00E30555" w:rsidRDefault="00E30555" w:rsidP="00E30555">
      <w:pPr>
        <w:pStyle w:val="Default"/>
        <w:tabs>
          <w:tab w:val="left" w:pos="1155"/>
        </w:tabs>
        <w:rPr>
          <w:sz w:val="22"/>
          <w:szCs w:val="22"/>
        </w:rPr>
      </w:pPr>
    </w:p>
    <w:p w14:paraId="43B8BD75" w14:textId="34A12483" w:rsidR="001B672C" w:rsidRDefault="001B672C" w:rsidP="001B672C">
      <w:pPr>
        <w:pStyle w:val="Default"/>
        <w:tabs>
          <w:tab w:val="left" w:pos="1155"/>
        </w:tabs>
        <w:jc w:val="both"/>
        <w:rPr>
          <w:sz w:val="22"/>
          <w:szCs w:val="22"/>
        </w:rPr>
      </w:pPr>
      <w:r w:rsidRPr="001B672C">
        <w:rPr>
          <w:sz w:val="22"/>
          <w:szCs w:val="22"/>
        </w:rPr>
        <w:t>Se describe a continuación la forma como se presentan los hábitos tóxicos de tabaquismo y alcoholismo en la población de empleados de la entidad, así como la frecuencia de consumo según lo referido por los funcionarios en su examen médico.</w:t>
      </w:r>
    </w:p>
    <w:p w14:paraId="25028F22" w14:textId="77777777" w:rsidR="00DE2995" w:rsidRDefault="00DE2995" w:rsidP="001B672C">
      <w:pPr>
        <w:pStyle w:val="Default"/>
        <w:tabs>
          <w:tab w:val="left" w:pos="1155"/>
        </w:tabs>
        <w:jc w:val="both"/>
        <w:rPr>
          <w:sz w:val="22"/>
          <w:szCs w:val="22"/>
        </w:rPr>
      </w:pPr>
    </w:p>
    <w:p w14:paraId="36B5CC37" w14:textId="6E39C126" w:rsidR="001B672C" w:rsidRDefault="001B672C" w:rsidP="001B672C">
      <w:pPr>
        <w:pStyle w:val="Default"/>
        <w:tabs>
          <w:tab w:val="left" w:pos="1155"/>
        </w:tabs>
        <w:jc w:val="both"/>
        <w:rPr>
          <w:sz w:val="22"/>
          <w:szCs w:val="22"/>
        </w:rPr>
      </w:pPr>
      <w:r w:rsidRPr="001B672C">
        <w:rPr>
          <w:sz w:val="22"/>
          <w:szCs w:val="22"/>
        </w:rPr>
        <w:t>Respecto del consumo de licor, sesenta (60) personas refirieron que ingieren algún tipo de licor de forma eventual. Lo que corresponde al 48%.</w:t>
      </w:r>
    </w:p>
    <w:p w14:paraId="38B3B8AE" w14:textId="77777777" w:rsidR="00DE2995" w:rsidRPr="001B672C" w:rsidRDefault="00DE2995" w:rsidP="001B672C">
      <w:pPr>
        <w:pStyle w:val="Default"/>
        <w:tabs>
          <w:tab w:val="left" w:pos="1155"/>
        </w:tabs>
        <w:jc w:val="both"/>
        <w:rPr>
          <w:sz w:val="22"/>
          <w:szCs w:val="22"/>
        </w:rPr>
      </w:pPr>
    </w:p>
    <w:p w14:paraId="06ED238C" w14:textId="21982B9F" w:rsidR="001B672C" w:rsidRPr="001B672C" w:rsidRDefault="001B672C" w:rsidP="001B672C">
      <w:pPr>
        <w:pStyle w:val="Default"/>
        <w:tabs>
          <w:tab w:val="left" w:pos="1155"/>
        </w:tabs>
        <w:jc w:val="both"/>
        <w:rPr>
          <w:sz w:val="22"/>
          <w:szCs w:val="22"/>
        </w:rPr>
      </w:pPr>
      <w:r w:rsidRPr="001B672C">
        <w:rPr>
          <w:sz w:val="22"/>
          <w:szCs w:val="22"/>
        </w:rPr>
        <w:t>Con respecto al hábito de tabaquismo, en la SUPERINTENDENCIA DEL SUBSIDIO FAMILIAR., seis (6) funcionarios refieren fumar a diario, lo que equivale al 4.80% y catorce (14) lo hacen de manera ocasional para un 11.20%. Destacamos también que existen nueve (9) personas que son exfumadoras con el 7.20%, y noventa y seis (96) funcionarios niegan tener este hábito, con el 76.80% de prevalencia</w:t>
      </w:r>
      <w:r>
        <w:t>.</w:t>
      </w:r>
    </w:p>
    <w:p w14:paraId="6C62C071" w14:textId="77777777" w:rsidR="00E30555" w:rsidRPr="0010336B" w:rsidRDefault="00E30555" w:rsidP="00E30555">
      <w:pPr>
        <w:pStyle w:val="Default"/>
        <w:tabs>
          <w:tab w:val="left" w:pos="1155"/>
        </w:tabs>
        <w:rPr>
          <w:sz w:val="22"/>
          <w:szCs w:val="22"/>
        </w:rPr>
      </w:pPr>
    </w:p>
    <w:p w14:paraId="237D969B" w14:textId="77777777" w:rsidR="00E30555" w:rsidRDefault="00E30555" w:rsidP="00E30555">
      <w:pPr>
        <w:pStyle w:val="Default"/>
        <w:tabs>
          <w:tab w:val="left" w:pos="1155"/>
        </w:tabs>
        <w:jc w:val="both"/>
        <w:rPr>
          <w:sz w:val="22"/>
          <w:szCs w:val="22"/>
        </w:rPr>
      </w:pPr>
      <w:r w:rsidRPr="006F12C5">
        <w:rPr>
          <w:b/>
          <w:bCs/>
          <w:sz w:val="22"/>
          <w:szCs w:val="22"/>
        </w:rPr>
        <w:t>C</w:t>
      </w:r>
      <w:r>
        <w:rPr>
          <w:b/>
          <w:bCs/>
          <w:sz w:val="22"/>
          <w:szCs w:val="22"/>
        </w:rPr>
        <w:t>.</w:t>
      </w:r>
      <w:r w:rsidRPr="006F12C5">
        <w:rPr>
          <w:b/>
          <w:bCs/>
          <w:sz w:val="22"/>
          <w:szCs w:val="22"/>
        </w:rPr>
        <w:t xml:space="preserve"> Respecto a la actividad física</w:t>
      </w:r>
      <w:r>
        <w:rPr>
          <w:sz w:val="22"/>
          <w:szCs w:val="22"/>
        </w:rPr>
        <w:t>:</w:t>
      </w:r>
    </w:p>
    <w:p w14:paraId="24076CFC" w14:textId="77777777" w:rsidR="00E30555" w:rsidRDefault="00E30555" w:rsidP="00E30555">
      <w:pPr>
        <w:pStyle w:val="Default"/>
        <w:tabs>
          <w:tab w:val="left" w:pos="1155"/>
        </w:tabs>
        <w:jc w:val="both"/>
        <w:rPr>
          <w:sz w:val="22"/>
          <w:szCs w:val="22"/>
        </w:rPr>
      </w:pPr>
    </w:p>
    <w:p w14:paraId="569930F1" w14:textId="0EE111A4" w:rsidR="00E30555" w:rsidRDefault="001B672C" w:rsidP="001B672C">
      <w:pPr>
        <w:pStyle w:val="Default"/>
        <w:tabs>
          <w:tab w:val="left" w:pos="1155"/>
        </w:tabs>
        <w:jc w:val="both"/>
      </w:pPr>
      <w:r w:rsidRPr="001B672C">
        <w:rPr>
          <w:sz w:val="22"/>
          <w:szCs w:val="22"/>
        </w:rPr>
        <w:t>De la población valorada, sesenta y ocho (68) funcionarios equivalentes al 54.40% refieren hacer algún tipo de actividad física, y de este grupo el 13.60% correspondiente a diecisiete (17) de ellos, realizan práctica deportiva diariamente</w:t>
      </w:r>
      <w:r>
        <w:t>.</w:t>
      </w:r>
    </w:p>
    <w:p w14:paraId="6B6E70AE" w14:textId="77777777" w:rsidR="00E3070C" w:rsidRDefault="00E3070C" w:rsidP="001B672C">
      <w:pPr>
        <w:pStyle w:val="Default"/>
        <w:tabs>
          <w:tab w:val="left" w:pos="1155"/>
        </w:tabs>
        <w:jc w:val="both"/>
      </w:pPr>
    </w:p>
    <w:p w14:paraId="1DFAFDFA" w14:textId="77665E73" w:rsidR="001B672C" w:rsidRDefault="001D7629" w:rsidP="001B672C">
      <w:pPr>
        <w:pStyle w:val="Default"/>
        <w:tabs>
          <w:tab w:val="left" w:pos="1155"/>
        </w:tabs>
        <w:jc w:val="both"/>
      </w:pPr>
      <w:r w:rsidRPr="001D7629">
        <w:rPr>
          <w:sz w:val="22"/>
          <w:szCs w:val="22"/>
        </w:rPr>
        <w:t>Es importante anotar que la frecuencia, regularidad e intensidad de actividad física no es la óptima en la mayoría de las personas, ya que de acuerdo con la Organización Mundial de la Salud se debe realizar mínimo 4 o 5 veces por semana con una duración de 40 minutos cada vez, de predominio cardiovascular tipo aeróbico (ciclismo, caminata, elíptica, natación</w:t>
      </w:r>
      <w:r>
        <w:t>).</w:t>
      </w:r>
    </w:p>
    <w:p w14:paraId="2D424FD9" w14:textId="77777777" w:rsidR="001D7629" w:rsidRDefault="001D7629" w:rsidP="001B672C">
      <w:pPr>
        <w:pStyle w:val="Default"/>
        <w:tabs>
          <w:tab w:val="left" w:pos="1155"/>
        </w:tabs>
        <w:jc w:val="both"/>
        <w:rPr>
          <w:sz w:val="22"/>
          <w:szCs w:val="22"/>
        </w:rPr>
      </w:pPr>
    </w:p>
    <w:p w14:paraId="4DF761C5" w14:textId="77777777" w:rsidR="00E30555" w:rsidRDefault="00E30555" w:rsidP="00E30555">
      <w:pPr>
        <w:pStyle w:val="Default"/>
        <w:tabs>
          <w:tab w:val="left" w:pos="1155"/>
        </w:tabs>
        <w:jc w:val="both"/>
        <w:rPr>
          <w:sz w:val="22"/>
          <w:szCs w:val="22"/>
        </w:rPr>
      </w:pPr>
      <w:r w:rsidRPr="006F12C5">
        <w:rPr>
          <w:b/>
          <w:bCs/>
          <w:sz w:val="22"/>
          <w:szCs w:val="22"/>
        </w:rPr>
        <w:t xml:space="preserve">D. En cuanto a los hallazgos de los exámenes </w:t>
      </w:r>
      <w:r>
        <w:rPr>
          <w:b/>
          <w:bCs/>
          <w:sz w:val="22"/>
          <w:szCs w:val="22"/>
        </w:rPr>
        <w:t>médicos ocupacionales</w:t>
      </w:r>
      <w:r w:rsidRPr="006F12C5">
        <w:rPr>
          <w:b/>
          <w:bCs/>
          <w:sz w:val="22"/>
          <w:szCs w:val="22"/>
        </w:rPr>
        <w:t xml:space="preserve"> se puede concluir:</w:t>
      </w:r>
      <w:r w:rsidRPr="00DE7AB2">
        <w:rPr>
          <w:sz w:val="22"/>
          <w:szCs w:val="22"/>
        </w:rPr>
        <w:t xml:space="preserve"> </w:t>
      </w:r>
    </w:p>
    <w:p w14:paraId="266EA2B4" w14:textId="77777777" w:rsidR="00E30555" w:rsidRDefault="00E30555" w:rsidP="00E30555"/>
    <w:p w14:paraId="329EEDAC" w14:textId="475C6EA9" w:rsidR="001D7629" w:rsidRDefault="001D7629" w:rsidP="00E30555">
      <w:pPr>
        <w:pStyle w:val="Prrafodelista"/>
        <w:ind w:left="0"/>
        <w:rPr>
          <w:sz w:val="22"/>
          <w:szCs w:val="22"/>
        </w:rPr>
      </w:pPr>
      <w:r w:rsidRPr="001D7629">
        <w:rPr>
          <w:sz w:val="22"/>
          <w:szCs w:val="22"/>
        </w:rPr>
        <w:t xml:space="preserve">-La prevalencia de alteraciones auditivas corresponde al 45.60% de casos, a los cuales se les debe hacer seguimiento y control e implementar medidas que apoyen la prevención de los hallazgos detectados. Doce (12) personas presentaron tapón de cerumen, las cuales deben ser manejadas en la EPS respectiva para realizar el lavado ótico. </w:t>
      </w:r>
    </w:p>
    <w:p w14:paraId="400E275B" w14:textId="77777777" w:rsidR="001D7629" w:rsidRPr="001D7629" w:rsidRDefault="001D7629" w:rsidP="00E30555">
      <w:pPr>
        <w:pStyle w:val="Prrafodelista"/>
        <w:ind w:left="0"/>
        <w:rPr>
          <w:sz w:val="22"/>
          <w:szCs w:val="22"/>
        </w:rPr>
      </w:pPr>
    </w:p>
    <w:p w14:paraId="4AB3BABF" w14:textId="31D406ED" w:rsidR="001D7629" w:rsidRDefault="001D7629" w:rsidP="00E30555">
      <w:pPr>
        <w:pStyle w:val="Prrafodelista"/>
        <w:ind w:left="0"/>
        <w:rPr>
          <w:sz w:val="22"/>
          <w:szCs w:val="22"/>
        </w:rPr>
      </w:pPr>
      <w:r w:rsidRPr="001D7629">
        <w:rPr>
          <w:sz w:val="22"/>
          <w:szCs w:val="22"/>
        </w:rPr>
        <w:t xml:space="preserve">-Respecto a la Optometría, siendo este examen prioritario dentro de las labores desarrolladas, se evidencio que el 79.20% de las personas presentaron hallazgos a nivel visual, encontrándose que el 42.40% ya se encuentran adecuadamente corregidos; a los demás debe hacérseles seguimiento y control a través del programa de promoción y prevención de salud visual para evitar fatiga laboral. </w:t>
      </w:r>
    </w:p>
    <w:p w14:paraId="2E1A7BFA" w14:textId="77777777" w:rsidR="001D7629" w:rsidRPr="001D7629" w:rsidRDefault="001D7629" w:rsidP="00E30555">
      <w:pPr>
        <w:pStyle w:val="Prrafodelista"/>
        <w:ind w:left="0"/>
        <w:rPr>
          <w:sz w:val="22"/>
          <w:szCs w:val="22"/>
        </w:rPr>
      </w:pPr>
    </w:p>
    <w:p w14:paraId="647AEC1D" w14:textId="77777777" w:rsidR="001D7629" w:rsidRDefault="001D7629" w:rsidP="00E30555">
      <w:pPr>
        <w:pStyle w:val="Prrafodelista"/>
        <w:ind w:left="0"/>
        <w:rPr>
          <w:sz w:val="22"/>
          <w:szCs w:val="22"/>
        </w:rPr>
      </w:pPr>
      <w:r w:rsidRPr="001D7629">
        <w:rPr>
          <w:sz w:val="22"/>
          <w:szCs w:val="22"/>
        </w:rPr>
        <w:t xml:space="preserve">-Las patologías visuales de la refracción no presentan correlación causal con los factores intralaborales, debido a su gran componente hereditario. </w:t>
      </w:r>
    </w:p>
    <w:p w14:paraId="37D03BAD" w14:textId="77777777" w:rsidR="001D7629" w:rsidRDefault="001D7629" w:rsidP="00E30555">
      <w:pPr>
        <w:pStyle w:val="Prrafodelista"/>
        <w:ind w:left="0"/>
        <w:rPr>
          <w:sz w:val="22"/>
          <w:szCs w:val="22"/>
        </w:rPr>
      </w:pPr>
    </w:p>
    <w:p w14:paraId="6C8AA161" w14:textId="028C3340" w:rsidR="001D7629" w:rsidRDefault="001D7629" w:rsidP="00E30555">
      <w:pPr>
        <w:pStyle w:val="Prrafodelista"/>
        <w:ind w:left="0"/>
        <w:rPr>
          <w:sz w:val="22"/>
          <w:szCs w:val="22"/>
        </w:rPr>
      </w:pPr>
      <w:r>
        <w:rPr>
          <w:sz w:val="22"/>
          <w:szCs w:val="22"/>
        </w:rPr>
        <w:lastRenderedPageBreak/>
        <w:t>-</w:t>
      </w:r>
      <w:r w:rsidRPr="001D7629">
        <w:rPr>
          <w:sz w:val="22"/>
          <w:szCs w:val="22"/>
        </w:rPr>
        <w:t xml:space="preserve">El 0.80%, presenta alteraciones que no interfieren con su labor en los resultados de electrocardiograma. </w:t>
      </w:r>
    </w:p>
    <w:p w14:paraId="5796C25D" w14:textId="77777777" w:rsidR="001D7629" w:rsidRDefault="001D7629" w:rsidP="00E30555">
      <w:pPr>
        <w:pStyle w:val="Prrafodelista"/>
        <w:ind w:left="0"/>
        <w:rPr>
          <w:sz w:val="22"/>
          <w:szCs w:val="22"/>
        </w:rPr>
      </w:pPr>
    </w:p>
    <w:p w14:paraId="539CE2F6" w14:textId="54DB0A07" w:rsidR="001D7629" w:rsidRDefault="001D7629" w:rsidP="00E30555">
      <w:pPr>
        <w:pStyle w:val="Prrafodelista"/>
        <w:ind w:left="0"/>
        <w:rPr>
          <w:sz w:val="22"/>
          <w:szCs w:val="22"/>
        </w:rPr>
      </w:pPr>
      <w:r>
        <w:rPr>
          <w:sz w:val="22"/>
          <w:szCs w:val="22"/>
        </w:rPr>
        <w:t>-</w:t>
      </w:r>
      <w:r w:rsidRPr="001D7629">
        <w:rPr>
          <w:sz w:val="22"/>
          <w:szCs w:val="22"/>
        </w:rPr>
        <w:t xml:space="preserve">En lo referente a las pruebas de Psicología indican que el 62.40% de las personas presentan algún hallazgo, al cual se le debe hacer seguimiento y control. </w:t>
      </w:r>
    </w:p>
    <w:p w14:paraId="721C8AC7" w14:textId="77777777" w:rsidR="001D7629" w:rsidRDefault="001D7629" w:rsidP="00E30555">
      <w:pPr>
        <w:pStyle w:val="Prrafodelista"/>
        <w:ind w:left="0"/>
        <w:rPr>
          <w:sz w:val="22"/>
          <w:szCs w:val="22"/>
        </w:rPr>
      </w:pPr>
    </w:p>
    <w:p w14:paraId="3AD6180F" w14:textId="1CCE493E" w:rsidR="00E30555" w:rsidRPr="001D7629" w:rsidRDefault="001D7629" w:rsidP="00E30555">
      <w:pPr>
        <w:pStyle w:val="Prrafodelista"/>
        <w:ind w:left="0"/>
        <w:rPr>
          <w:sz w:val="22"/>
          <w:szCs w:val="22"/>
        </w:rPr>
      </w:pPr>
      <w:r>
        <w:rPr>
          <w:sz w:val="22"/>
          <w:szCs w:val="22"/>
        </w:rPr>
        <w:t>-</w:t>
      </w:r>
      <w:r w:rsidRPr="001D7629">
        <w:rPr>
          <w:sz w:val="22"/>
          <w:szCs w:val="22"/>
        </w:rPr>
        <w:t>Finalmente, en lo que a exámenes de laboratorio se refiere, la mayoría de los funcionarios presentaron normalidad en los resultados. Aunque hay algunos casos alterados en el perfil lipídico, glicemia y cuadro hemático, los cuales serán analizados en la evaluación médica</w:t>
      </w:r>
      <w:r w:rsidR="00C77921">
        <w:rPr>
          <w:sz w:val="22"/>
          <w:szCs w:val="22"/>
        </w:rPr>
        <w:t>.</w:t>
      </w:r>
    </w:p>
    <w:p w14:paraId="4265BACF" w14:textId="33A13440" w:rsidR="00E30555" w:rsidRDefault="00E30555" w:rsidP="00E30555">
      <w:pPr>
        <w:pStyle w:val="Default"/>
        <w:tabs>
          <w:tab w:val="left" w:pos="851"/>
        </w:tabs>
        <w:ind w:right="49"/>
        <w:jc w:val="both"/>
        <w:rPr>
          <w:sz w:val="22"/>
          <w:szCs w:val="22"/>
          <w:highlight w:val="yellow"/>
        </w:rPr>
      </w:pPr>
    </w:p>
    <w:p w14:paraId="4A5E401C" w14:textId="77777777" w:rsidR="00C77921" w:rsidRPr="001D7629" w:rsidRDefault="00C77921" w:rsidP="00E30555">
      <w:pPr>
        <w:pStyle w:val="Default"/>
        <w:tabs>
          <w:tab w:val="left" w:pos="851"/>
        </w:tabs>
        <w:ind w:right="49"/>
        <w:jc w:val="both"/>
        <w:rPr>
          <w:sz w:val="22"/>
          <w:szCs w:val="22"/>
          <w:highlight w:val="yellow"/>
        </w:rPr>
      </w:pPr>
    </w:p>
    <w:p w14:paraId="53BC7C5A" w14:textId="77777777" w:rsidR="00E30555" w:rsidRPr="003D53E3" w:rsidRDefault="00E30555" w:rsidP="00E30555">
      <w:pPr>
        <w:pStyle w:val="Ttulo1"/>
        <w:keepNext w:val="0"/>
        <w:keepLines w:val="0"/>
        <w:numPr>
          <w:ilvl w:val="0"/>
          <w:numId w:val="1"/>
        </w:numPr>
        <w:spacing w:before="0"/>
        <w:ind w:left="284" w:hanging="284"/>
        <w:rPr>
          <w:rFonts w:ascii="Arial" w:hAnsi="Arial" w:cs="Arial"/>
          <w:b/>
          <w:color w:val="auto"/>
          <w:sz w:val="24"/>
          <w:szCs w:val="24"/>
        </w:rPr>
      </w:pPr>
      <w:bookmarkStart w:id="15" w:name="_Toc90467608"/>
      <w:bookmarkStart w:id="16" w:name="_Toc188962811"/>
      <w:r w:rsidRPr="003D53E3">
        <w:rPr>
          <w:rFonts w:ascii="Arial" w:hAnsi="Arial" w:cs="Arial"/>
          <w:b/>
          <w:color w:val="auto"/>
          <w:sz w:val="24"/>
          <w:szCs w:val="24"/>
        </w:rPr>
        <w:t>CONTENIDO DEL PLAN ANUAL DE SEGURIDAD Y SALUD EN EL TRABAJO</w:t>
      </w:r>
      <w:bookmarkEnd w:id="15"/>
      <w:bookmarkEnd w:id="16"/>
    </w:p>
    <w:p w14:paraId="00FB6AC8" w14:textId="77777777" w:rsidR="00E30555" w:rsidRPr="00705CE0" w:rsidRDefault="00E30555" w:rsidP="00E30555">
      <w:pPr>
        <w:pStyle w:val="Prrafodelista"/>
        <w:ind w:left="0"/>
        <w:rPr>
          <w:sz w:val="22"/>
          <w:szCs w:val="22"/>
        </w:rPr>
      </w:pPr>
    </w:p>
    <w:p w14:paraId="483C2537" w14:textId="77777777" w:rsidR="00E30555" w:rsidRPr="00705CE0" w:rsidRDefault="00E30555" w:rsidP="00E30555">
      <w:pPr>
        <w:pStyle w:val="Prrafodelista"/>
        <w:ind w:left="0"/>
        <w:rPr>
          <w:sz w:val="22"/>
          <w:szCs w:val="22"/>
        </w:rPr>
      </w:pPr>
      <w:r w:rsidRPr="00705CE0">
        <w:rPr>
          <w:sz w:val="22"/>
          <w:szCs w:val="22"/>
        </w:rPr>
        <w:t>Teniendo en cuenta que el Artículo 2.2.4.6.8 del Decreto 1072 de 2015, le corresponde a la Superintendencia del Subsidio Familiar, dentro del marco de la protección de la seguridad y salud en el trabajo de los trabajadores, debe diseñar y desarrollar un plan de trabajo anual para el cumplimiento de los de los objetivos del SG –SST, en el que se debe identificar las metas, responsabilidades, recursos y cronograma de actividades en concordancia con los estándares mínimos del Sistema.</w:t>
      </w:r>
    </w:p>
    <w:p w14:paraId="466C8F6A" w14:textId="77777777" w:rsidR="00E30555" w:rsidRPr="00512051" w:rsidRDefault="00E30555" w:rsidP="00E30555">
      <w:pPr>
        <w:pStyle w:val="Prrafodelista"/>
        <w:ind w:left="0"/>
        <w:rPr>
          <w:sz w:val="22"/>
          <w:szCs w:val="22"/>
        </w:rPr>
      </w:pPr>
    </w:p>
    <w:p w14:paraId="0CDF8222" w14:textId="53C044CF" w:rsidR="00B63C52" w:rsidRDefault="004A30F7" w:rsidP="00E30555">
      <w:pPr>
        <w:pStyle w:val="Prrafodelista"/>
        <w:ind w:left="0"/>
        <w:rPr>
          <w:sz w:val="22"/>
          <w:szCs w:val="22"/>
        </w:rPr>
      </w:pPr>
      <w:r>
        <w:rPr>
          <w:sz w:val="22"/>
          <w:szCs w:val="22"/>
        </w:rPr>
        <w:t>Las</w:t>
      </w:r>
      <w:r w:rsidR="00E30555" w:rsidRPr="00512051">
        <w:rPr>
          <w:sz w:val="22"/>
          <w:szCs w:val="22"/>
        </w:rPr>
        <w:t xml:space="preserve"> actividades están relacionadas con la identificación, evaluación, valoración y control de los riesgos determinados en los ambientes de trabajo, minimizando la probabilidad de ocurrencia de accidentes y previniendo las enfermedades laborales. </w:t>
      </w:r>
    </w:p>
    <w:p w14:paraId="6973F0AA" w14:textId="055E5F2F" w:rsidR="00B63C52" w:rsidRDefault="00B63C52" w:rsidP="00E30555">
      <w:pPr>
        <w:pStyle w:val="Prrafodelista"/>
        <w:ind w:left="0"/>
        <w:rPr>
          <w:sz w:val="22"/>
          <w:szCs w:val="22"/>
        </w:rPr>
      </w:pPr>
    </w:p>
    <w:p w14:paraId="10763664" w14:textId="6152AADB" w:rsidR="00B63C52" w:rsidRDefault="00B63C52" w:rsidP="00E30555">
      <w:pPr>
        <w:pStyle w:val="Prrafodelista"/>
        <w:ind w:left="0"/>
        <w:rPr>
          <w:sz w:val="22"/>
          <w:szCs w:val="22"/>
        </w:rPr>
      </w:pPr>
      <w:r>
        <w:rPr>
          <w:sz w:val="22"/>
          <w:szCs w:val="22"/>
        </w:rPr>
        <w:t xml:space="preserve">Respeto al cumplimiento del artículo 2.2.4.6.5 del </w:t>
      </w:r>
      <w:r w:rsidRPr="00B63C52">
        <w:rPr>
          <w:sz w:val="22"/>
          <w:szCs w:val="22"/>
        </w:rPr>
        <w:t>Decreto 1072 de 2015</w:t>
      </w:r>
      <w:r>
        <w:rPr>
          <w:sz w:val="22"/>
          <w:szCs w:val="22"/>
        </w:rPr>
        <w:t>, la Superintendencia del Subsidio Familiar adopta las políticas</w:t>
      </w:r>
      <w:r w:rsidR="00CB4AB2">
        <w:rPr>
          <w:sz w:val="22"/>
          <w:szCs w:val="22"/>
        </w:rPr>
        <w:t xml:space="preserve"> de Seguridad y Salud en el Trabajo, de Prevención de Alcohol, Tabaco y Sustancias Psicoactivas, y de Seguridad Vial. </w:t>
      </w:r>
    </w:p>
    <w:p w14:paraId="5D3AC516" w14:textId="77777777" w:rsidR="00B63C52" w:rsidRDefault="00B63C52" w:rsidP="00E30555">
      <w:pPr>
        <w:pStyle w:val="Prrafodelista"/>
        <w:ind w:left="0"/>
        <w:rPr>
          <w:sz w:val="22"/>
          <w:szCs w:val="22"/>
        </w:rPr>
      </w:pPr>
    </w:p>
    <w:p w14:paraId="4DC6B20B" w14:textId="549633D1" w:rsidR="00E30555" w:rsidRPr="00512051" w:rsidRDefault="00854092" w:rsidP="00E30555">
      <w:pPr>
        <w:pStyle w:val="Prrafodelista"/>
        <w:ind w:left="0"/>
        <w:rPr>
          <w:sz w:val="22"/>
          <w:szCs w:val="22"/>
        </w:rPr>
      </w:pPr>
      <w:r>
        <w:rPr>
          <w:sz w:val="22"/>
          <w:szCs w:val="22"/>
        </w:rPr>
        <w:t>E</w:t>
      </w:r>
      <w:r w:rsidR="00721E0A">
        <w:rPr>
          <w:sz w:val="22"/>
          <w:szCs w:val="22"/>
        </w:rPr>
        <w:t xml:space="preserve">n el Plan de Trabajo del </w:t>
      </w:r>
      <w:r w:rsidR="00375FCE">
        <w:rPr>
          <w:sz w:val="22"/>
          <w:szCs w:val="22"/>
        </w:rPr>
        <w:t>S</w:t>
      </w:r>
      <w:r w:rsidR="00721E0A">
        <w:rPr>
          <w:sz w:val="22"/>
          <w:szCs w:val="22"/>
        </w:rPr>
        <w:t xml:space="preserve">istema de Gestión de Seguridad y Salud </w:t>
      </w:r>
      <w:r>
        <w:rPr>
          <w:sz w:val="22"/>
          <w:szCs w:val="22"/>
        </w:rPr>
        <w:t>en el Trabajo, l</w:t>
      </w:r>
      <w:r w:rsidRPr="00854092">
        <w:rPr>
          <w:sz w:val="22"/>
          <w:szCs w:val="22"/>
        </w:rPr>
        <w:t xml:space="preserve">as actividades se proyectan </w:t>
      </w:r>
      <w:r>
        <w:rPr>
          <w:sz w:val="22"/>
          <w:szCs w:val="22"/>
        </w:rPr>
        <w:t xml:space="preserve">en </w:t>
      </w:r>
      <w:r w:rsidR="00721E0A">
        <w:rPr>
          <w:sz w:val="22"/>
          <w:szCs w:val="22"/>
        </w:rPr>
        <w:t>cumpl</w:t>
      </w:r>
      <w:r>
        <w:rPr>
          <w:sz w:val="22"/>
          <w:szCs w:val="22"/>
        </w:rPr>
        <w:t xml:space="preserve">imiento </w:t>
      </w:r>
      <w:r w:rsidR="00721E0A">
        <w:rPr>
          <w:sz w:val="22"/>
          <w:szCs w:val="22"/>
        </w:rPr>
        <w:t xml:space="preserve">con los lineamientos de la Resolución 0312 de 2019 por la cual se define los Estándares Mínimos y </w:t>
      </w:r>
      <w:r w:rsidR="00375FCE">
        <w:rPr>
          <w:sz w:val="22"/>
          <w:szCs w:val="22"/>
        </w:rPr>
        <w:t xml:space="preserve">en el cual se </w:t>
      </w:r>
      <w:r w:rsidR="00721E0A">
        <w:rPr>
          <w:sz w:val="22"/>
          <w:szCs w:val="22"/>
        </w:rPr>
        <w:t xml:space="preserve">encuentran los programas de medicina del trabajo y de prevención y promoción de la salud, </w:t>
      </w:r>
      <w:r w:rsidR="00721E0A" w:rsidRPr="00721E0A">
        <w:rPr>
          <w:sz w:val="22"/>
          <w:szCs w:val="22"/>
        </w:rPr>
        <w:t>programas de vigilancia epidemiológica requeridos, de conformidad con las prioridades identificadas en el diagnóstico de condiciones de salud y con los peligros/riesgos prioritarios</w:t>
      </w:r>
      <w:r w:rsidR="00721E0A">
        <w:rPr>
          <w:sz w:val="22"/>
          <w:szCs w:val="22"/>
        </w:rPr>
        <w:t>, como son los desordenes musculoesqueléticos, de riegos psicosocial, plan de prevención y preparación y respuesta ante emergencias</w:t>
      </w:r>
      <w:r w:rsidR="00375FCE">
        <w:rPr>
          <w:sz w:val="22"/>
          <w:szCs w:val="22"/>
        </w:rPr>
        <w:t xml:space="preserve">. </w:t>
      </w:r>
      <w:r w:rsidR="00E30555" w:rsidRPr="00512051">
        <w:rPr>
          <w:sz w:val="22"/>
          <w:szCs w:val="22"/>
        </w:rPr>
        <w:t>Para ello es importante fomentar la participación de los colaboradores en la ejecución de las actividades proyectadas.</w:t>
      </w:r>
    </w:p>
    <w:p w14:paraId="5AA93659" w14:textId="77777777" w:rsidR="00E30555" w:rsidRPr="00512051" w:rsidRDefault="00E30555" w:rsidP="00E30555">
      <w:pPr>
        <w:pStyle w:val="Prrafodelista"/>
        <w:ind w:left="0"/>
        <w:rPr>
          <w:sz w:val="22"/>
          <w:szCs w:val="22"/>
        </w:rPr>
      </w:pPr>
    </w:p>
    <w:p w14:paraId="2896D2D2" w14:textId="2EE41376" w:rsidR="00E30555" w:rsidRPr="00573581" w:rsidRDefault="00E30555" w:rsidP="00E30555">
      <w:pPr>
        <w:pStyle w:val="Prrafodelista"/>
        <w:ind w:left="0"/>
        <w:rPr>
          <w:sz w:val="22"/>
          <w:szCs w:val="22"/>
        </w:rPr>
      </w:pPr>
      <w:r w:rsidRPr="00573581">
        <w:rPr>
          <w:sz w:val="22"/>
          <w:szCs w:val="22"/>
        </w:rPr>
        <w:t xml:space="preserve">Con relación al Manual Operativo del Modelo Integrado de Planeación y Gestión versión 3 y aunado a las acciones de la Gestión Estratégica del Talento Humano, el plan de trabajo anual de Seguridad y Salud en el Trabajo, se encuentra </w:t>
      </w:r>
      <w:r>
        <w:rPr>
          <w:sz w:val="22"/>
          <w:szCs w:val="22"/>
        </w:rPr>
        <w:t>articulado con</w:t>
      </w:r>
      <w:r w:rsidRPr="00573581">
        <w:rPr>
          <w:sz w:val="22"/>
          <w:szCs w:val="22"/>
        </w:rPr>
        <w:t xml:space="preserve"> la ruta de la Felicidad, </w:t>
      </w:r>
      <w:r>
        <w:rPr>
          <w:sz w:val="22"/>
          <w:szCs w:val="22"/>
        </w:rPr>
        <w:t xml:space="preserve">dado que, esta ruta plantea </w:t>
      </w:r>
      <w:r w:rsidRPr="00573581">
        <w:rPr>
          <w:sz w:val="22"/>
          <w:szCs w:val="22"/>
        </w:rPr>
        <w:t>que cuando el servidor es feliz en el trabajo tiende a ser más productivo</w:t>
      </w:r>
      <w:r>
        <w:rPr>
          <w:sz w:val="22"/>
          <w:szCs w:val="22"/>
        </w:rPr>
        <w:t>. E</w:t>
      </w:r>
      <w:r w:rsidRPr="00573581">
        <w:rPr>
          <w:sz w:val="22"/>
          <w:szCs w:val="22"/>
        </w:rPr>
        <w:t>sta ruta se relaciona</w:t>
      </w:r>
      <w:r>
        <w:rPr>
          <w:sz w:val="22"/>
          <w:szCs w:val="22"/>
        </w:rPr>
        <w:t xml:space="preserve"> </w:t>
      </w:r>
      <w:r w:rsidRPr="00573581">
        <w:rPr>
          <w:sz w:val="22"/>
          <w:szCs w:val="22"/>
        </w:rPr>
        <w:t>entre otras, con las siguientes temáticas: seguridad y salud en el trabajo, clima organizacional, bienestar, promoción y prevención de la salud, programa “Entorno laboral saludable”, teletrabajo, ambiente físico, incentivos, inducción, reinducción</w:t>
      </w:r>
      <w:r w:rsidR="00661F7B">
        <w:rPr>
          <w:sz w:val="22"/>
          <w:szCs w:val="22"/>
        </w:rPr>
        <w:t xml:space="preserve"> en seguridad y salud en el trabajo</w:t>
      </w:r>
      <w:r w:rsidRPr="00573581">
        <w:rPr>
          <w:sz w:val="22"/>
          <w:szCs w:val="22"/>
        </w:rPr>
        <w:t>, entre otros.</w:t>
      </w:r>
    </w:p>
    <w:p w14:paraId="3D2277A3" w14:textId="77777777" w:rsidR="00E30555" w:rsidRPr="00573581" w:rsidRDefault="00E30555" w:rsidP="00E30555">
      <w:pPr>
        <w:pStyle w:val="Prrafodelista"/>
        <w:ind w:left="0" w:right="49"/>
        <w:rPr>
          <w:sz w:val="22"/>
          <w:szCs w:val="22"/>
        </w:rPr>
      </w:pPr>
    </w:p>
    <w:p w14:paraId="5F911135" w14:textId="19723A3B" w:rsidR="00B63C52" w:rsidRPr="00974BB9" w:rsidRDefault="00E30555" w:rsidP="00974BB9">
      <w:pPr>
        <w:textAlignment w:val="baseline"/>
      </w:pPr>
      <w:r w:rsidRPr="00573581">
        <w:lastRenderedPageBreak/>
        <w:t>De igual manera y de conformidad con la Resolución número 0685 de 28 octubre de 2011 por</w:t>
      </w:r>
      <w:r>
        <w:t xml:space="preserve"> medio</w:t>
      </w:r>
      <w:r w:rsidRPr="00573581">
        <w:t xml:space="preserve"> la cual se adoptan disposiciones de materia de bienestar laboral e incentivos para los empleados públicos de la Superintendencia del Subsidio Familiar, en el capítulo IV Áreas, Programadas, Modalidades, Beneficiarios y Procedimientos del Programa de Bienestar Laboral, en el literal del artículo 14 Actividades del Área de Promoción y Servicios Sociales, se enmarcan las actividades de seguridad y sal</w:t>
      </w:r>
      <w:r>
        <w:t>ud en el trabajo.</w:t>
      </w:r>
      <w:r w:rsidR="00B63C52">
        <w:t xml:space="preserve"> </w:t>
      </w:r>
    </w:p>
    <w:p w14:paraId="3CF10F08" w14:textId="77777777" w:rsidR="003D53E3" w:rsidRDefault="003D53E3" w:rsidP="00E30555">
      <w:pPr>
        <w:spacing w:line="276" w:lineRule="auto"/>
        <w:textAlignment w:val="baseline"/>
        <w:rPr>
          <w:color w:val="000000" w:themeColor="text1"/>
        </w:rPr>
        <w:sectPr w:rsidR="003D53E3">
          <w:headerReference w:type="default" r:id="rId11"/>
          <w:footerReference w:type="default" r:id="rId12"/>
          <w:pgSz w:w="12240" w:h="15840"/>
          <w:pgMar w:top="1417" w:right="1701" w:bottom="1417" w:left="1701" w:header="708" w:footer="708" w:gutter="0"/>
          <w:cols w:space="708"/>
          <w:docGrid w:linePitch="360"/>
        </w:sectPr>
      </w:pPr>
    </w:p>
    <w:p w14:paraId="27772ABD" w14:textId="453C2433" w:rsidR="00E55BEC" w:rsidRDefault="00E55BEC" w:rsidP="00E30555">
      <w:pPr>
        <w:spacing w:line="276" w:lineRule="auto"/>
        <w:textAlignment w:val="baseline"/>
        <w:rPr>
          <w:color w:val="000000" w:themeColor="text1"/>
        </w:rPr>
      </w:pPr>
    </w:p>
    <w:p w14:paraId="5D43EED1" w14:textId="087DB8D2" w:rsidR="00E55BEC" w:rsidRDefault="00E55BEC" w:rsidP="00E30555">
      <w:pPr>
        <w:spacing w:line="276" w:lineRule="auto"/>
        <w:textAlignment w:val="baseline"/>
        <w:rPr>
          <w:color w:val="000000" w:themeColor="text1"/>
        </w:rPr>
      </w:pPr>
    </w:p>
    <w:p w14:paraId="7BDD2B49" w14:textId="39D7735D" w:rsidR="00E55BEC" w:rsidRDefault="00E55BEC" w:rsidP="00E30555">
      <w:pPr>
        <w:spacing w:line="276" w:lineRule="auto"/>
        <w:textAlignment w:val="baseline"/>
        <w:rPr>
          <w:color w:val="000000" w:themeColor="text1"/>
        </w:rPr>
      </w:pPr>
    </w:p>
    <w:p w14:paraId="1DF4C890" w14:textId="2F45A061" w:rsidR="00E55BEC" w:rsidRDefault="00F62DB9" w:rsidP="00E30555">
      <w:pPr>
        <w:spacing w:line="276" w:lineRule="auto"/>
        <w:textAlignment w:val="baseline"/>
        <w:rPr>
          <w:color w:val="000000" w:themeColor="text1"/>
        </w:rPr>
      </w:pPr>
      <w:r>
        <w:rPr>
          <w:noProof/>
        </w:rPr>
        <w:drawing>
          <wp:anchor distT="0" distB="0" distL="114300" distR="114300" simplePos="0" relativeHeight="251673600" behindDoc="0" locked="0" layoutInCell="1" allowOverlap="1" wp14:anchorId="595DD947" wp14:editId="258A3D95">
            <wp:simplePos x="0" y="0"/>
            <wp:positionH relativeFrom="column">
              <wp:posOffset>-194945</wp:posOffset>
            </wp:positionH>
            <wp:positionV relativeFrom="paragraph">
              <wp:posOffset>289560</wp:posOffset>
            </wp:positionV>
            <wp:extent cx="8772525" cy="2867660"/>
            <wp:effectExtent l="0" t="0" r="9525"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772525" cy="2867660"/>
                    </a:xfrm>
                    <a:prstGeom prst="rect">
                      <a:avLst/>
                    </a:prstGeom>
                  </pic:spPr>
                </pic:pic>
              </a:graphicData>
            </a:graphic>
            <wp14:sizeRelH relativeFrom="page">
              <wp14:pctWidth>0</wp14:pctWidth>
            </wp14:sizeRelH>
            <wp14:sizeRelV relativeFrom="page">
              <wp14:pctHeight>0</wp14:pctHeight>
            </wp14:sizeRelV>
          </wp:anchor>
        </w:drawing>
      </w:r>
    </w:p>
    <w:p w14:paraId="01E52B5A" w14:textId="44454757" w:rsidR="00E55BEC" w:rsidRDefault="00E55BEC" w:rsidP="00E30555">
      <w:pPr>
        <w:spacing w:line="276" w:lineRule="auto"/>
        <w:textAlignment w:val="baseline"/>
        <w:rPr>
          <w:color w:val="000000" w:themeColor="text1"/>
        </w:rPr>
      </w:pPr>
    </w:p>
    <w:p w14:paraId="19C09886" w14:textId="6A75136D" w:rsidR="00E55BEC" w:rsidRDefault="00E55BEC" w:rsidP="00E30555">
      <w:pPr>
        <w:spacing w:line="276" w:lineRule="auto"/>
        <w:textAlignment w:val="baseline"/>
        <w:rPr>
          <w:color w:val="000000" w:themeColor="text1"/>
        </w:rPr>
      </w:pPr>
    </w:p>
    <w:p w14:paraId="06DA7DA7" w14:textId="2ABABC58" w:rsidR="00E30555" w:rsidRDefault="00E30555" w:rsidP="00E30555">
      <w:pPr>
        <w:spacing w:line="276" w:lineRule="auto"/>
        <w:textAlignment w:val="baseline"/>
        <w:rPr>
          <w:color w:val="000000" w:themeColor="text1"/>
        </w:rPr>
      </w:pPr>
    </w:p>
    <w:p w14:paraId="071317AF" w14:textId="5C4239A1" w:rsidR="00E30555" w:rsidRDefault="00E30555" w:rsidP="00E30555">
      <w:pPr>
        <w:spacing w:line="276" w:lineRule="auto"/>
        <w:textAlignment w:val="baseline"/>
        <w:rPr>
          <w:color w:val="000000" w:themeColor="text1"/>
        </w:rPr>
      </w:pPr>
    </w:p>
    <w:p w14:paraId="028047E7" w14:textId="77777777" w:rsidR="003D53E3" w:rsidRDefault="003D53E3" w:rsidP="00E30555">
      <w:pPr>
        <w:spacing w:line="276" w:lineRule="auto"/>
        <w:textAlignment w:val="baseline"/>
        <w:rPr>
          <w:color w:val="000000" w:themeColor="text1"/>
        </w:rPr>
      </w:pPr>
    </w:p>
    <w:p w14:paraId="0E532CA8" w14:textId="77777777" w:rsidR="00E30555" w:rsidRPr="001A320F" w:rsidRDefault="00E30555" w:rsidP="00E30555">
      <w:pPr>
        <w:rPr>
          <w:b/>
          <w:color w:val="auto"/>
        </w:rPr>
      </w:pPr>
    </w:p>
    <w:p w14:paraId="27E4E44E" w14:textId="77777777" w:rsidR="00E30555" w:rsidRDefault="00E30555" w:rsidP="00E30555"/>
    <w:p w14:paraId="13174274" w14:textId="77777777" w:rsidR="003D53E3" w:rsidRDefault="003D53E3" w:rsidP="00E30555"/>
    <w:p w14:paraId="7E5D25DE" w14:textId="7B453188" w:rsidR="003D53E3" w:rsidRDefault="003D53E3" w:rsidP="00E30555"/>
    <w:p w14:paraId="5682ABA9" w14:textId="288A156F" w:rsidR="003D53E3" w:rsidRDefault="003D53E3" w:rsidP="00E30555"/>
    <w:p w14:paraId="6E004F87" w14:textId="7C332A58" w:rsidR="003D53E3" w:rsidRDefault="003D53E3" w:rsidP="00E30555"/>
    <w:p w14:paraId="1CF7E5C8" w14:textId="58C49A4F" w:rsidR="003D53E3" w:rsidRPr="00D10F3A" w:rsidRDefault="00B42862" w:rsidP="00D10F3A">
      <w:pPr>
        <w:jc w:val="center"/>
        <w:rPr>
          <w:b/>
        </w:rPr>
      </w:pPr>
      <w:r w:rsidRPr="00D10F3A">
        <w:rPr>
          <w:b/>
        </w:rPr>
        <w:t>PLANEAR</w:t>
      </w:r>
    </w:p>
    <w:p w14:paraId="6D36E752" w14:textId="51EC61FC" w:rsidR="003D53E3" w:rsidRDefault="00E55BEC" w:rsidP="00E30555">
      <w:r>
        <w:rPr>
          <w:noProof/>
        </w:rPr>
        <w:drawing>
          <wp:anchor distT="0" distB="0" distL="114300" distR="114300" simplePos="0" relativeHeight="251675648" behindDoc="0" locked="0" layoutInCell="1" allowOverlap="1" wp14:anchorId="2EAB0020" wp14:editId="511BD64D">
            <wp:simplePos x="0" y="0"/>
            <wp:positionH relativeFrom="column">
              <wp:posOffset>-309245</wp:posOffset>
            </wp:positionH>
            <wp:positionV relativeFrom="paragraph">
              <wp:posOffset>294005</wp:posOffset>
            </wp:positionV>
            <wp:extent cx="8856980" cy="3533775"/>
            <wp:effectExtent l="0" t="0" r="127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56980" cy="3533775"/>
                    </a:xfrm>
                    <a:prstGeom prst="rect">
                      <a:avLst/>
                    </a:prstGeom>
                  </pic:spPr>
                </pic:pic>
              </a:graphicData>
            </a:graphic>
            <wp14:sizeRelH relativeFrom="page">
              <wp14:pctWidth>0</wp14:pctWidth>
            </wp14:sizeRelH>
            <wp14:sizeRelV relativeFrom="page">
              <wp14:pctHeight>0</wp14:pctHeight>
            </wp14:sizeRelV>
          </wp:anchor>
        </w:drawing>
      </w:r>
    </w:p>
    <w:p w14:paraId="6E55216F" w14:textId="69FB2A68" w:rsidR="003D53E3" w:rsidRDefault="003D53E3" w:rsidP="00E30555"/>
    <w:p w14:paraId="52F087D9" w14:textId="4E3CCFB7" w:rsidR="003D53E3" w:rsidRDefault="003D53E3" w:rsidP="00E30555"/>
    <w:p w14:paraId="0DF97953" w14:textId="36B01076" w:rsidR="00E55BEC" w:rsidRDefault="00E55BEC" w:rsidP="00E30555"/>
    <w:p w14:paraId="1B745842" w14:textId="596AAA33" w:rsidR="00E55BEC" w:rsidRDefault="00E55BEC" w:rsidP="00E30555"/>
    <w:p w14:paraId="6C1058A4" w14:textId="4A257DEB" w:rsidR="00E55BEC" w:rsidRDefault="00E55BEC" w:rsidP="00E30555"/>
    <w:p w14:paraId="1B5C8168" w14:textId="46DD2EE0" w:rsidR="00E55BEC" w:rsidRDefault="00E55BEC" w:rsidP="00E30555"/>
    <w:p w14:paraId="2E5C14C7" w14:textId="1D95E21F" w:rsidR="00E55BEC" w:rsidRDefault="00E55BEC" w:rsidP="00E30555"/>
    <w:p w14:paraId="1A109236" w14:textId="4984AC23" w:rsidR="00E55BEC" w:rsidRDefault="0033046C" w:rsidP="00E30555">
      <w:r>
        <w:rPr>
          <w:noProof/>
        </w:rPr>
        <w:drawing>
          <wp:anchor distT="0" distB="0" distL="114300" distR="114300" simplePos="0" relativeHeight="251676672" behindDoc="0" locked="0" layoutInCell="1" allowOverlap="1" wp14:anchorId="7FA1FD8A" wp14:editId="7EB740EE">
            <wp:simplePos x="0" y="0"/>
            <wp:positionH relativeFrom="column">
              <wp:posOffset>-314325</wp:posOffset>
            </wp:positionH>
            <wp:positionV relativeFrom="paragraph">
              <wp:posOffset>320040</wp:posOffset>
            </wp:positionV>
            <wp:extent cx="8933180" cy="3971925"/>
            <wp:effectExtent l="0" t="0" r="127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933180" cy="3971925"/>
                    </a:xfrm>
                    <a:prstGeom prst="rect">
                      <a:avLst/>
                    </a:prstGeom>
                  </pic:spPr>
                </pic:pic>
              </a:graphicData>
            </a:graphic>
            <wp14:sizeRelH relativeFrom="page">
              <wp14:pctWidth>0</wp14:pctWidth>
            </wp14:sizeRelH>
            <wp14:sizeRelV relativeFrom="page">
              <wp14:pctHeight>0</wp14:pctHeight>
            </wp14:sizeRelV>
          </wp:anchor>
        </w:drawing>
      </w:r>
    </w:p>
    <w:p w14:paraId="28FCE659" w14:textId="091DB675" w:rsidR="00E55BEC" w:rsidRDefault="00E55BEC" w:rsidP="00E30555"/>
    <w:p w14:paraId="53ED5CFA" w14:textId="6A3D3770" w:rsidR="00E55BEC" w:rsidRDefault="00E55BEC" w:rsidP="00E30555"/>
    <w:p w14:paraId="3AE40D93" w14:textId="59E99D9D" w:rsidR="00E55BEC" w:rsidRDefault="00E55BEC" w:rsidP="00E30555"/>
    <w:p w14:paraId="7250685F" w14:textId="11C10AA3" w:rsidR="00E55BEC" w:rsidRDefault="00E55BEC" w:rsidP="00E30555"/>
    <w:p w14:paraId="35C1C816" w14:textId="6625C8A9" w:rsidR="00E55BEC" w:rsidRDefault="00E55BEC" w:rsidP="00E30555"/>
    <w:p w14:paraId="528FDEF9" w14:textId="7469DFA7" w:rsidR="00E55BEC" w:rsidRDefault="00E55BEC" w:rsidP="00E30555"/>
    <w:p w14:paraId="1CB60AC6" w14:textId="0EC80036" w:rsidR="00E55BEC" w:rsidRDefault="00E55BEC" w:rsidP="00E30555"/>
    <w:p w14:paraId="29BCC686" w14:textId="1F49069A" w:rsidR="00E55BEC" w:rsidRDefault="00C378BE" w:rsidP="00E30555">
      <w:r>
        <w:rPr>
          <w:noProof/>
        </w:rPr>
        <w:drawing>
          <wp:anchor distT="0" distB="0" distL="114300" distR="114300" simplePos="0" relativeHeight="251677696" behindDoc="0" locked="0" layoutInCell="1" allowOverlap="1" wp14:anchorId="16E6E4F6" wp14:editId="0C0A283F">
            <wp:simplePos x="0" y="0"/>
            <wp:positionH relativeFrom="column">
              <wp:posOffset>-414020</wp:posOffset>
            </wp:positionH>
            <wp:positionV relativeFrom="paragraph">
              <wp:posOffset>319405</wp:posOffset>
            </wp:positionV>
            <wp:extent cx="8989695" cy="3971925"/>
            <wp:effectExtent l="0" t="0" r="190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989695" cy="3971925"/>
                    </a:xfrm>
                    <a:prstGeom prst="rect">
                      <a:avLst/>
                    </a:prstGeom>
                  </pic:spPr>
                </pic:pic>
              </a:graphicData>
            </a:graphic>
            <wp14:sizeRelH relativeFrom="page">
              <wp14:pctWidth>0</wp14:pctWidth>
            </wp14:sizeRelH>
            <wp14:sizeRelV relativeFrom="page">
              <wp14:pctHeight>0</wp14:pctHeight>
            </wp14:sizeRelV>
          </wp:anchor>
        </w:drawing>
      </w:r>
    </w:p>
    <w:p w14:paraId="35217F63" w14:textId="6120D6B3" w:rsidR="00E55BEC" w:rsidRDefault="00E55BEC" w:rsidP="00E30555"/>
    <w:p w14:paraId="43D973C8" w14:textId="6EE69758" w:rsidR="00E55BEC" w:rsidRDefault="00E55BEC" w:rsidP="00E30555"/>
    <w:p w14:paraId="73CC942A" w14:textId="0A5D0A12" w:rsidR="00E55BEC" w:rsidRDefault="00E55BEC" w:rsidP="00E30555"/>
    <w:p w14:paraId="2E57FCED" w14:textId="008EE645" w:rsidR="00E55BEC" w:rsidRDefault="00E55BEC" w:rsidP="00E30555"/>
    <w:p w14:paraId="05249433" w14:textId="675625AB" w:rsidR="00E55BEC" w:rsidRDefault="00E55BEC" w:rsidP="00E30555"/>
    <w:p w14:paraId="5C5F2D42" w14:textId="77777777" w:rsidR="00D10F3A" w:rsidRDefault="00D10F3A" w:rsidP="00E30555"/>
    <w:p w14:paraId="33B49BF7" w14:textId="788C4D70" w:rsidR="00D10F3A" w:rsidRPr="00D10F3A" w:rsidRDefault="00D10F3A" w:rsidP="00D10F3A">
      <w:pPr>
        <w:jc w:val="center"/>
        <w:rPr>
          <w:b/>
        </w:rPr>
      </w:pPr>
      <w:r w:rsidRPr="00D10F3A">
        <w:rPr>
          <w:b/>
        </w:rPr>
        <w:t>HACER</w:t>
      </w:r>
    </w:p>
    <w:p w14:paraId="75BB20AF" w14:textId="77777777" w:rsidR="00D10F3A" w:rsidRDefault="00D10F3A" w:rsidP="00E30555"/>
    <w:p w14:paraId="6EEFFED9" w14:textId="32D02228" w:rsidR="00E55BEC" w:rsidRDefault="001E0E5D" w:rsidP="00E30555">
      <w:r>
        <w:rPr>
          <w:noProof/>
        </w:rPr>
        <w:drawing>
          <wp:anchor distT="0" distB="0" distL="114300" distR="114300" simplePos="0" relativeHeight="251678720" behindDoc="0" locked="0" layoutInCell="1" allowOverlap="1" wp14:anchorId="2FB3E960" wp14:editId="4CCEBDA7">
            <wp:simplePos x="0" y="0"/>
            <wp:positionH relativeFrom="margin">
              <wp:align>center</wp:align>
            </wp:positionH>
            <wp:positionV relativeFrom="paragraph">
              <wp:posOffset>320040</wp:posOffset>
            </wp:positionV>
            <wp:extent cx="8867775" cy="30670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67775" cy="3067050"/>
                    </a:xfrm>
                    <a:prstGeom prst="rect">
                      <a:avLst/>
                    </a:prstGeom>
                  </pic:spPr>
                </pic:pic>
              </a:graphicData>
            </a:graphic>
            <wp14:sizeRelH relativeFrom="page">
              <wp14:pctWidth>0</wp14:pctWidth>
            </wp14:sizeRelH>
            <wp14:sizeRelV relativeFrom="page">
              <wp14:pctHeight>0</wp14:pctHeight>
            </wp14:sizeRelV>
          </wp:anchor>
        </w:drawing>
      </w:r>
    </w:p>
    <w:p w14:paraId="0358F757" w14:textId="07156C52" w:rsidR="00E55BEC" w:rsidRDefault="00E55BEC" w:rsidP="00E30555"/>
    <w:p w14:paraId="5BE9439B" w14:textId="31E3CD6A" w:rsidR="00E55BEC" w:rsidRDefault="00E55BEC" w:rsidP="00E30555"/>
    <w:p w14:paraId="2EEACC2D" w14:textId="00A7B5EA" w:rsidR="00E55BEC" w:rsidRDefault="00E55BEC" w:rsidP="00E30555"/>
    <w:p w14:paraId="3CFA8423" w14:textId="71ABFA0C" w:rsidR="00E55BEC" w:rsidRDefault="00E55BEC" w:rsidP="00E30555"/>
    <w:p w14:paraId="6DA480AA" w14:textId="5AE8DF96" w:rsidR="00E55BEC" w:rsidRDefault="00E55BEC" w:rsidP="00E30555"/>
    <w:p w14:paraId="32D651A3" w14:textId="6306B361" w:rsidR="00E55BEC" w:rsidRDefault="00E55BEC" w:rsidP="00E30555"/>
    <w:p w14:paraId="131C6FED" w14:textId="44FE88DA" w:rsidR="00E55BEC" w:rsidRDefault="00E55BEC" w:rsidP="00E30555"/>
    <w:p w14:paraId="73D4DE0C" w14:textId="48575DCE" w:rsidR="00E55BEC" w:rsidRDefault="00E55BEC" w:rsidP="00E30555"/>
    <w:p w14:paraId="5AB693F5" w14:textId="2956FBF7" w:rsidR="00E55BEC" w:rsidRDefault="00E55BEC" w:rsidP="00E30555"/>
    <w:p w14:paraId="090D0408" w14:textId="53605D74" w:rsidR="00E55BEC" w:rsidRDefault="00E55BEC" w:rsidP="00E30555"/>
    <w:p w14:paraId="32EE0DF9" w14:textId="719AD355" w:rsidR="00E55BEC" w:rsidRDefault="00E55BEC" w:rsidP="00E30555"/>
    <w:p w14:paraId="588AD77E" w14:textId="571A8D82" w:rsidR="00E55BEC" w:rsidRDefault="00FD29D8" w:rsidP="00E30555">
      <w:r>
        <w:rPr>
          <w:noProof/>
        </w:rPr>
        <w:drawing>
          <wp:anchor distT="0" distB="0" distL="114300" distR="114300" simplePos="0" relativeHeight="251679744" behindDoc="0" locked="0" layoutInCell="1" allowOverlap="1" wp14:anchorId="0B1144A9" wp14:editId="46907494">
            <wp:simplePos x="0" y="0"/>
            <wp:positionH relativeFrom="margin">
              <wp:posOffset>-252730</wp:posOffset>
            </wp:positionH>
            <wp:positionV relativeFrom="paragraph">
              <wp:posOffset>320675</wp:posOffset>
            </wp:positionV>
            <wp:extent cx="8855710" cy="3686175"/>
            <wp:effectExtent l="0" t="0" r="254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855710" cy="3686175"/>
                    </a:xfrm>
                    <a:prstGeom prst="rect">
                      <a:avLst/>
                    </a:prstGeom>
                  </pic:spPr>
                </pic:pic>
              </a:graphicData>
            </a:graphic>
            <wp14:sizeRelH relativeFrom="page">
              <wp14:pctWidth>0</wp14:pctWidth>
            </wp14:sizeRelH>
            <wp14:sizeRelV relativeFrom="page">
              <wp14:pctHeight>0</wp14:pctHeight>
            </wp14:sizeRelV>
          </wp:anchor>
        </w:drawing>
      </w:r>
    </w:p>
    <w:p w14:paraId="71905862" w14:textId="586934C7" w:rsidR="00FD29D8" w:rsidRDefault="00FD29D8" w:rsidP="00E30555"/>
    <w:p w14:paraId="09C2C934" w14:textId="5C9C5BBB" w:rsidR="00FD29D8" w:rsidRDefault="00FD29D8" w:rsidP="00E30555"/>
    <w:p w14:paraId="6A8A2AD8" w14:textId="519A9FD9" w:rsidR="00FD29D8" w:rsidRDefault="00FD29D8" w:rsidP="00E30555"/>
    <w:p w14:paraId="33F31994" w14:textId="10292320" w:rsidR="00FD29D8" w:rsidRDefault="00FD29D8" w:rsidP="00E30555"/>
    <w:p w14:paraId="15354CBB" w14:textId="38CD6E10" w:rsidR="00FD29D8" w:rsidRDefault="00FD29D8" w:rsidP="00E30555"/>
    <w:p w14:paraId="5CC8D1DE" w14:textId="5FD6B8C1" w:rsidR="00FD29D8" w:rsidRDefault="00FD29D8" w:rsidP="00E30555"/>
    <w:p w14:paraId="0BAFBC3D" w14:textId="77777777" w:rsidR="00D10F3A" w:rsidRDefault="00D10F3A" w:rsidP="00E30555"/>
    <w:p w14:paraId="5E88989A" w14:textId="77777777" w:rsidR="00D10F3A" w:rsidRDefault="00D10F3A" w:rsidP="00E30555"/>
    <w:p w14:paraId="47479165" w14:textId="77777777" w:rsidR="00D10F3A" w:rsidRDefault="00D10F3A" w:rsidP="00E30555"/>
    <w:p w14:paraId="1A8C7A14" w14:textId="77777777" w:rsidR="00D10F3A" w:rsidRDefault="00D10F3A" w:rsidP="00E30555"/>
    <w:p w14:paraId="6260FD23" w14:textId="1FA1BAEB" w:rsidR="00FD29D8" w:rsidRDefault="00414594" w:rsidP="00E30555">
      <w:r>
        <w:rPr>
          <w:noProof/>
        </w:rPr>
        <w:drawing>
          <wp:anchor distT="0" distB="0" distL="114300" distR="114300" simplePos="0" relativeHeight="251680768" behindDoc="0" locked="0" layoutInCell="1" allowOverlap="1" wp14:anchorId="1AB18D7C" wp14:editId="3D04290B">
            <wp:simplePos x="0" y="0"/>
            <wp:positionH relativeFrom="margin">
              <wp:posOffset>-433070</wp:posOffset>
            </wp:positionH>
            <wp:positionV relativeFrom="paragraph">
              <wp:posOffset>160655</wp:posOffset>
            </wp:positionV>
            <wp:extent cx="8968740" cy="3900805"/>
            <wp:effectExtent l="0" t="0" r="3810" b="444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968740" cy="3900805"/>
                    </a:xfrm>
                    <a:prstGeom prst="rect">
                      <a:avLst/>
                    </a:prstGeom>
                  </pic:spPr>
                </pic:pic>
              </a:graphicData>
            </a:graphic>
            <wp14:sizeRelH relativeFrom="page">
              <wp14:pctWidth>0</wp14:pctWidth>
            </wp14:sizeRelH>
            <wp14:sizeRelV relativeFrom="page">
              <wp14:pctHeight>0</wp14:pctHeight>
            </wp14:sizeRelV>
          </wp:anchor>
        </w:drawing>
      </w:r>
    </w:p>
    <w:p w14:paraId="3C2BD6A5" w14:textId="769500F6" w:rsidR="00FD29D8" w:rsidRDefault="00FD29D8" w:rsidP="00E30555"/>
    <w:p w14:paraId="52D542C4" w14:textId="5A6F2F98" w:rsidR="00FD29D8" w:rsidRDefault="00FD29D8" w:rsidP="00E30555"/>
    <w:p w14:paraId="7681C49D" w14:textId="6B60B88A" w:rsidR="00FD29D8" w:rsidRDefault="00FD29D8" w:rsidP="00E30555"/>
    <w:p w14:paraId="7894698F" w14:textId="70A294A6" w:rsidR="00FD29D8" w:rsidRDefault="00FD29D8" w:rsidP="00E30555"/>
    <w:p w14:paraId="282D8E54" w14:textId="76BA0740" w:rsidR="00FD29D8" w:rsidRDefault="00FD29D8" w:rsidP="00E30555"/>
    <w:p w14:paraId="4681F518" w14:textId="048F2C6E" w:rsidR="00FD29D8" w:rsidRDefault="00FD29D8" w:rsidP="00E30555"/>
    <w:p w14:paraId="03A82526" w14:textId="6F2CD340" w:rsidR="00D57EC8" w:rsidRDefault="00D57EC8" w:rsidP="00E30555">
      <w:r>
        <w:rPr>
          <w:noProof/>
        </w:rPr>
        <w:drawing>
          <wp:anchor distT="0" distB="0" distL="114300" distR="114300" simplePos="0" relativeHeight="251681792" behindDoc="0" locked="0" layoutInCell="1" allowOverlap="1" wp14:anchorId="655A0907" wp14:editId="5A9973A1">
            <wp:simplePos x="0" y="0"/>
            <wp:positionH relativeFrom="column">
              <wp:posOffset>-452120</wp:posOffset>
            </wp:positionH>
            <wp:positionV relativeFrom="paragraph">
              <wp:posOffset>320675</wp:posOffset>
            </wp:positionV>
            <wp:extent cx="8991600" cy="3992880"/>
            <wp:effectExtent l="0" t="0" r="0" b="762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991600" cy="3992880"/>
                    </a:xfrm>
                    <a:prstGeom prst="rect">
                      <a:avLst/>
                    </a:prstGeom>
                  </pic:spPr>
                </pic:pic>
              </a:graphicData>
            </a:graphic>
            <wp14:sizeRelH relativeFrom="page">
              <wp14:pctWidth>0</wp14:pctWidth>
            </wp14:sizeRelH>
            <wp14:sizeRelV relativeFrom="page">
              <wp14:pctHeight>0</wp14:pctHeight>
            </wp14:sizeRelV>
          </wp:anchor>
        </w:drawing>
      </w:r>
    </w:p>
    <w:p w14:paraId="466598FF" w14:textId="5FD0FAA7" w:rsidR="00D57EC8" w:rsidRDefault="00D57EC8" w:rsidP="00E30555"/>
    <w:p w14:paraId="3F532A24" w14:textId="3E0FCFF2" w:rsidR="00D57EC8" w:rsidRDefault="00D57EC8" w:rsidP="00E30555"/>
    <w:p w14:paraId="18EB3936" w14:textId="12FE9021" w:rsidR="00D57EC8" w:rsidRDefault="00D57EC8" w:rsidP="00E30555"/>
    <w:p w14:paraId="4AEC0EB7" w14:textId="5CFD5C51" w:rsidR="00D57EC8" w:rsidRDefault="00D57EC8" w:rsidP="00E30555"/>
    <w:p w14:paraId="7ECB8775" w14:textId="61189341" w:rsidR="00D57EC8" w:rsidRDefault="00D57EC8" w:rsidP="00E30555"/>
    <w:p w14:paraId="06D61948" w14:textId="5E948B83" w:rsidR="00D57EC8" w:rsidRDefault="00D57EC8" w:rsidP="00E30555"/>
    <w:p w14:paraId="03B90ED0" w14:textId="6D79FC74" w:rsidR="00D57EC8" w:rsidRDefault="00D57EC8" w:rsidP="00E30555"/>
    <w:p w14:paraId="7BD6E580" w14:textId="188F30D9" w:rsidR="00D57EC8" w:rsidRDefault="008E3826" w:rsidP="00E30555">
      <w:r>
        <w:rPr>
          <w:noProof/>
        </w:rPr>
        <w:drawing>
          <wp:anchor distT="0" distB="0" distL="114300" distR="114300" simplePos="0" relativeHeight="251682816" behindDoc="0" locked="0" layoutInCell="1" allowOverlap="1" wp14:anchorId="5ED0E710" wp14:editId="1AE84BF8">
            <wp:simplePos x="0" y="0"/>
            <wp:positionH relativeFrom="margin">
              <wp:posOffset>-433705</wp:posOffset>
            </wp:positionH>
            <wp:positionV relativeFrom="paragraph">
              <wp:posOffset>160655</wp:posOffset>
            </wp:positionV>
            <wp:extent cx="8982710" cy="3590925"/>
            <wp:effectExtent l="0" t="0" r="889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982710" cy="3590925"/>
                    </a:xfrm>
                    <a:prstGeom prst="rect">
                      <a:avLst/>
                    </a:prstGeom>
                  </pic:spPr>
                </pic:pic>
              </a:graphicData>
            </a:graphic>
            <wp14:sizeRelH relativeFrom="page">
              <wp14:pctWidth>0</wp14:pctWidth>
            </wp14:sizeRelH>
            <wp14:sizeRelV relativeFrom="page">
              <wp14:pctHeight>0</wp14:pctHeight>
            </wp14:sizeRelV>
          </wp:anchor>
        </w:drawing>
      </w:r>
    </w:p>
    <w:p w14:paraId="76C2B8D0" w14:textId="609D95F8" w:rsidR="00D57EC8" w:rsidRDefault="00D57EC8" w:rsidP="00E30555"/>
    <w:p w14:paraId="4F24A10A" w14:textId="4B42D6D9" w:rsidR="00D57EC8" w:rsidRDefault="00D57EC8" w:rsidP="00E30555"/>
    <w:p w14:paraId="5E3910FB" w14:textId="4E4D5855" w:rsidR="00D57EC8" w:rsidRDefault="00D57EC8" w:rsidP="00E30555"/>
    <w:p w14:paraId="084284FB" w14:textId="7AF44B53" w:rsidR="00D57EC8" w:rsidRDefault="00D57EC8" w:rsidP="00E30555"/>
    <w:p w14:paraId="08FAAD8F" w14:textId="13E10AEA" w:rsidR="00D57EC8" w:rsidRDefault="00D57EC8" w:rsidP="00E30555"/>
    <w:p w14:paraId="3B6C5CD2" w14:textId="4731A567" w:rsidR="00D57EC8" w:rsidRDefault="00D57EC8" w:rsidP="00E30555"/>
    <w:p w14:paraId="56A33456" w14:textId="4E1BB1DD" w:rsidR="00D57EC8" w:rsidRDefault="00D57EC8" w:rsidP="00E30555"/>
    <w:p w14:paraId="17835756" w14:textId="24BA2EDF" w:rsidR="00D57EC8" w:rsidRDefault="00D57EC8" w:rsidP="00E30555"/>
    <w:p w14:paraId="15A4F66F" w14:textId="1A34074B" w:rsidR="00D57EC8" w:rsidRDefault="00D57EC8" w:rsidP="00E30555"/>
    <w:p w14:paraId="59087A4C" w14:textId="4F58170F" w:rsidR="00D10F3A" w:rsidRPr="00D10F3A" w:rsidRDefault="00D10F3A" w:rsidP="00D10F3A">
      <w:pPr>
        <w:jc w:val="center"/>
        <w:rPr>
          <w:b/>
        </w:rPr>
      </w:pPr>
      <w:r w:rsidRPr="00D10F3A">
        <w:rPr>
          <w:b/>
        </w:rPr>
        <w:t>VERIFICAR</w:t>
      </w:r>
    </w:p>
    <w:p w14:paraId="3DA26A35" w14:textId="77777777" w:rsidR="00D10F3A" w:rsidRDefault="00D10F3A" w:rsidP="00E30555"/>
    <w:p w14:paraId="21FC0C7E" w14:textId="7146CC09" w:rsidR="00D57EC8" w:rsidRDefault="00932572" w:rsidP="00E30555">
      <w:r>
        <w:rPr>
          <w:noProof/>
        </w:rPr>
        <w:drawing>
          <wp:anchor distT="0" distB="0" distL="114300" distR="114300" simplePos="0" relativeHeight="251683840" behindDoc="0" locked="0" layoutInCell="1" allowOverlap="1" wp14:anchorId="5537B352" wp14:editId="6F71A7AA">
            <wp:simplePos x="0" y="0"/>
            <wp:positionH relativeFrom="margin">
              <wp:posOffset>-214630</wp:posOffset>
            </wp:positionH>
            <wp:positionV relativeFrom="paragraph">
              <wp:posOffset>234950</wp:posOffset>
            </wp:positionV>
            <wp:extent cx="8773160" cy="2924175"/>
            <wp:effectExtent l="0" t="0" r="889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773160" cy="2924175"/>
                    </a:xfrm>
                    <a:prstGeom prst="rect">
                      <a:avLst/>
                    </a:prstGeom>
                  </pic:spPr>
                </pic:pic>
              </a:graphicData>
            </a:graphic>
            <wp14:sizeRelH relativeFrom="page">
              <wp14:pctWidth>0</wp14:pctWidth>
            </wp14:sizeRelH>
            <wp14:sizeRelV relativeFrom="page">
              <wp14:pctHeight>0</wp14:pctHeight>
            </wp14:sizeRelV>
          </wp:anchor>
        </w:drawing>
      </w:r>
    </w:p>
    <w:p w14:paraId="5E26EDA5" w14:textId="05FFAB3B" w:rsidR="00D57EC8" w:rsidRDefault="00D57EC8" w:rsidP="00E30555"/>
    <w:p w14:paraId="08D2FED5" w14:textId="5747F6EF" w:rsidR="00D57EC8" w:rsidRDefault="00D57EC8" w:rsidP="00E30555"/>
    <w:p w14:paraId="4DA20744" w14:textId="5BFDA161" w:rsidR="00D57EC8" w:rsidRDefault="00D57EC8" w:rsidP="00E30555"/>
    <w:p w14:paraId="2C24F2BC" w14:textId="2080F0BD" w:rsidR="00D57EC8" w:rsidRDefault="00D57EC8" w:rsidP="00E30555"/>
    <w:p w14:paraId="0DA03F5B" w14:textId="57AB3E7A" w:rsidR="00D57EC8" w:rsidRDefault="00D57EC8" w:rsidP="00E30555"/>
    <w:p w14:paraId="5F88C5E7" w14:textId="1D1D2B3A" w:rsidR="00D57EC8" w:rsidRDefault="00D57EC8" w:rsidP="00E30555"/>
    <w:p w14:paraId="031010AA" w14:textId="1A5BECE7" w:rsidR="00D57EC8" w:rsidRDefault="00D57EC8" w:rsidP="00E30555"/>
    <w:p w14:paraId="539C14AA" w14:textId="25D197D3" w:rsidR="00D57EC8" w:rsidRDefault="00D57EC8" w:rsidP="00E30555"/>
    <w:p w14:paraId="74BA39DD" w14:textId="274AC6AD" w:rsidR="00D57EC8" w:rsidRDefault="00D57EC8" w:rsidP="00E30555"/>
    <w:p w14:paraId="07EA7286" w14:textId="01798A8C" w:rsidR="00D57EC8" w:rsidRDefault="00D57EC8" w:rsidP="00E30555"/>
    <w:p w14:paraId="2EC4C625" w14:textId="5109461B" w:rsidR="00D10F3A" w:rsidRPr="00D10F3A" w:rsidRDefault="00D10F3A" w:rsidP="00D10F3A">
      <w:pPr>
        <w:jc w:val="center"/>
        <w:rPr>
          <w:b/>
        </w:rPr>
      </w:pPr>
      <w:r w:rsidRPr="00D10F3A">
        <w:rPr>
          <w:b/>
        </w:rPr>
        <w:t>ACTUAR</w:t>
      </w:r>
    </w:p>
    <w:p w14:paraId="2D288E61" w14:textId="77304DAE" w:rsidR="00D57EC8" w:rsidRDefault="00D10F3A" w:rsidP="00E30555">
      <w:r>
        <w:rPr>
          <w:noProof/>
        </w:rPr>
        <w:drawing>
          <wp:anchor distT="0" distB="0" distL="114300" distR="114300" simplePos="0" relativeHeight="251684864" behindDoc="0" locked="0" layoutInCell="1" allowOverlap="1" wp14:anchorId="3E666ED3" wp14:editId="1321140F">
            <wp:simplePos x="0" y="0"/>
            <wp:positionH relativeFrom="margin">
              <wp:align>center</wp:align>
            </wp:positionH>
            <wp:positionV relativeFrom="paragraph">
              <wp:posOffset>271145</wp:posOffset>
            </wp:positionV>
            <wp:extent cx="8754110" cy="3829050"/>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754110" cy="3829050"/>
                    </a:xfrm>
                    <a:prstGeom prst="rect">
                      <a:avLst/>
                    </a:prstGeom>
                  </pic:spPr>
                </pic:pic>
              </a:graphicData>
            </a:graphic>
            <wp14:sizeRelH relativeFrom="page">
              <wp14:pctWidth>0</wp14:pctWidth>
            </wp14:sizeRelH>
            <wp14:sizeRelV relativeFrom="page">
              <wp14:pctHeight>0</wp14:pctHeight>
            </wp14:sizeRelV>
          </wp:anchor>
        </w:drawing>
      </w:r>
    </w:p>
    <w:p w14:paraId="5AEC96C0" w14:textId="1D58EAB1" w:rsidR="00D57EC8" w:rsidRDefault="00D57EC8" w:rsidP="00E30555"/>
    <w:p w14:paraId="2459A34B" w14:textId="2B66647E" w:rsidR="003D53E3" w:rsidRDefault="003D53E3" w:rsidP="00E30555"/>
    <w:p w14:paraId="1DDA3B35" w14:textId="1229EE33" w:rsidR="003D53E3" w:rsidRDefault="003D53E3" w:rsidP="00E30555"/>
    <w:p w14:paraId="581E1441" w14:textId="6DA3C562" w:rsidR="00492583" w:rsidRDefault="00492583" w:rsidP="00E30555">
      <w:pPr>
        <w:sectPr w:rsidR="00492583" w:rsidSect="003D53E3">
          <w:pgSz w:w="15840" w:h="12240" w:orient="landscape"/>
          <w:pgMar w:top="1701" w:right="1417" w:bottom="1701" w:left="1417" w:header="708" w:footer="708" w:gutter="0"/>
          <w:cols w:space="708"/>
          <w:docGrid w:linePitch="360"/>
        </w:sectPr>
      </w:pPr>
    </w:p>
    <w:p w14:paraId="14FBDDB4" w14:textId="77777777" w:rsidR="00492583" w:rsidRDefault="00492583" w:rsidP="00492583">
      <w:pPr>
        <w:rPr>
          <w:lang w:val="es-ES"/>
        </w:rPr>
      </w:pPr>
    </w:p>
    <w:p w14:paraId="1D74FEEF" w14:textId="77777777" w:rsidR="00492583" w:rsidRPr="00492583" w:rsidRDefault="00492583" w:rsidP="00492583">
      <w:pPr>
        <w:pStyle w:val="Ttulo1"/>
        <w:keepNext w:val="0"/>
        <w:keepLines w:val="0"/>
        <w:numPr>
          <w:ilvl w:val="0"/>
          <w:numId w:val="1"/>
        </w:numPr>
        <w:spacing w:before="0"/>
        <w:ind w:left="284" w:hanging="284"/>
        <w:rPr>
          <w:rFonts w:ascii="Arial" w:hAnsi="Arial" w:cs="Arial"/>
          <w:b/>
          <w:color w:val="auto"/>
          <w:sz w:val="24"/>
          <w:szCs w:val="24"/>
        </w:rPr>
      </w:pPr>
      <w:bookmarkStart w:id="17" w:name="_Toc72348623"/>
      <w:bookmarkStart w:id="18" w:name="_Toc90467609"/>
      <w:bookmarkStart w:id="19" w:name="_Toc188962812"/>
      <w:r w:rsidRPr="00492583">
        <w:rPr>
          <w:rFonts w:ascii="Arial" w:hAnsi="Arial" w:cs="Arial"/>
          <w:b/>
          <w:color w:val="auto"/>
          <w:sz w:val="24"/>
          <w:szCs w:val="24"/>
        </w:rPr>
        <w:t>PRESUPUESTO</w:t>
      </w:r>
      <w:bookmarkEnd w:id="17"/>
      <w:bookmarkEnd w:id="18"/>
      <w:bookmarkEnd w:id="19"/>
    </w:p>
    <w:p w14:paraId="2C64E7AC" w14:textId="77777777" w:rsidR="00492583" w:rsidRPr="00096768" w:rsidRDefault="00492583" w:rsidP="00492583">
      <w:pPr>
        <w:pStyle w:val="Prrafodelista"/>
        <w:ind w:left="0" w:right="49"/>
        <w:rPr>
          <w:sz w:val="22"/>
          <w:szCs w:val="22"/>
        </w:rPr>
      </w:pPr>
    </w:p>
    <w:p w14:paraId="419CB7A1" w14:textId="0C950E0A" w:rsidR="00096768" w:rsidRDefault="00096768" w:rsidP="001B7DE2">
      <w:pPr>
        <w:pStyle w:val="Textoindependiente"/>
        <w:spacing w:line="276" w:lineRule="auto"/>
      </w:pPr>
      <w:r w:rsidRPr="00096768">
        <w:t>Los valores presupuestados para la vigencia 2025 pueden ser modificados de acuerdo a las necesidades de la entidad y disponibilidad presupuestal, toda vez que la entidad se encuentra en concurso de méritos y pueden variar las actividades y los costos de las mismas, sin afectar el cumplimiento de</w:t>
      </w:r>
      <w:r>
        <w:t xml:space="preserve">l Plan de Gestión de Seguridad y Salud en el Trabajo </w:t>
      </w:r>
      <w:r w:rsidRPr="00096768">
        <w:t>desde la normatividad vigente.</w:t>
      </w:r>
    </w:p>
    <w:p w14:paraId="4D485672" w14:textId="6B2931D2" w:rsidR="00E10EB7" w:rsidRDefault="00E10EB7" w:rsidP="001B7DE2">
      <w:pPr>
        <w:pStyle w:val="Textoindependiente"/>
        <w:spacing w:line="276" w:lineRule="auto"/>
      </w:pPr>
    </w:p>
    <w:p w14:paraId="26694066" w14:textId="77777777" w:rsidR="00E10EB7" w:rsidRDefault="00E10EB7" w:rsidP="001B7DE2">
      <w:pPr>
        <w:pStyle w:val="Textoindependiente"/>
        <w:spacing w:line="276" w:lineRule="auto"/>
      </w:pPr>
    </w:p>
    <w:p w14:paraId="302D93EC" w14:textId="5F908B8A" w:rsidR="00096768" w:rsidRDefault="00096768" w:rsidP="001B7DE2">
      <w:pPr>
        <w:pStyle w:val="Textoindependiente"/>
        <w:spacing w:line="276" w:lineRule="auto"/>
      </w:pPr>
    </w:p>
    <w:p w14:paraId="47461FEC" w14:textId="4D5DCDAF" w:rsidR="00096768" w:rsidRDefault="00096768" w:rsidP="00096768">
      <w:pPr>
        <w:pStyle w:val="Prrafodelista"/>
        <w:ind w:left="0" w:right="49"/>
        <w:rPr>
          <w:sz w:val="22"/>
          <w:szCs w:val="22"/>
        </w:rPr>
      </w:pPr>
    </w:p>
    <w:p w14:paraId="22A89AF4" w14:textId="394D428E" w:rsidR="00B42862" w:rsidRDefault="00B42862" w:rsidP="00096768">
      <w:pPr>
        <w:pStyle w:val="Prrafodelista"/>
        <w:ind w:left="0" w:right="49"/>
        <w:rPr>
          <w:sz w:val="22"/>
          <w:szCs w:val="22"/>
        </w:rPr>
      </w:pPr>
    </w:p>
    <w:p w14:paraId="63FF191A" w14:textId="77777777" w:rsidR="00B42862" w:rsidRDefault="00B42862" w:rsidP="00096768">
      <w:pPr>
        <w:pStyle w:val="Prrafodelista"/>
        <w:ind w:left="0" w:right="49"/>
        <w:rPr>
          <w:sz w:val="22"/>
          <w:szCs w:val="22"/>
        </w:rPr>
      </w:pPr>
    </w:p>
    <w:p w14:paraId="015498F9" w14:textId="257D39FD" w:rsidR="00096768" w:rsidRDefault="00096768" w:rsidP="00096768">
      <w:pPr>
        <w:pStyle w:val="Prrafodelista"/>
        <w:ind w:left="0" w:right="49"/>
        <w:rPr>
          <w:sz w:val="22"/>
          <w:szCs w:val="22"/>
        </w:rPr>
      </w:pPr>
    </w:p>
    <w:p w14:paraId="502654DC" w14:textId="77777777" w:rsidR="00096768" w:rsidRDefault="00096768" w:rsidP="00096768">
      <w:pPr>
        <w:pStyle w:val="Prrafodelista"/>
        <w:ind w:left="0" w:right="49"/>
        <w:rPr>
          <w:sz w:val="22"/>
          <w:szCs w:val="22"/>
        </w:rPr>
      </w:pPr>
    </w:p>
    <w:p w14:paraId="2CA73BAE" w14:textId="77777777" w:rsidR="008E2923" w:rsidRDefault="008E2923" w:rsidP="00492583">
      <w:pPr>
        <w:pStyle w:val="Textoindependiente"/>
        <w:spacing w:after="0"/>
        <w:jc w:val="center"/>
        <w:rPr>
          <w:b/>
          <w:color w:val="000000" w:themeColor="text1"/>
          <w:sz w:val="24"/>
          <w:szCs w:val="24"/>
          <w:lang w:val="es-ES"/>
        </w:rPr>
      </w:pPr>
    </w:p>
    <w:p w14:paraId="26A94F64" w14:textId="77777777" w:rsidR="00492583" w:rsidRPr="001F5762" w:rsidRDefault="00492583" w:rsidP="00492583">
      <w:pPr>
        <w:pStyle w:val="Textoindependiente"/>
        <w:spacing w:after="0"/>
        <w:jc w:val="center"/>
        <w:rPr>
          <w:b/>
          <w:color w:val="000000" w:themeColor="text1"/>
          <w:sz w:val="24"/>
          <w:szCs w:val="24"/>
          <w:lang w:val="es-ES"/>
        </w:rPr>
      </w:pPr>
      <w:r w:rsidRPr="001F5762">
        <w:rPr>
          <w:b/>
          <w:color w:val="000000" w:themeColor="text1"/>
          <w:sz w:val="24"/>
          <w:szCs w:val="24"/>
          <w:lang w:val="es-ES"/>
        </w:rPr>
        <w:t>Nini Johanna Sandoval Jaime</w:t>
      </w:r>
    </w:p>
    <w:p w14:paraId="48576640" w14:textId="77777777" w:rsidR="00492583" w:rsidRPr="001F5762" w:rsidRDefault="00492583" w:rsidP="00492583">
      <w:pPr>
        <w:pStyle w:val="Textoindependiente"/>
        <w:spacing w:after="0"/>
        <w:jc w:val="center"/>
        <w:rPr>
          <w:b/>
          <w:color w:val="000000" w:themeColor="text1"/>
          <w:sz w:val="24"/>
          <w:szCs w:val="24"/>
          <w:lang w:val="es-ES"/>
        </w:rPr>
      </w:pPr>
      <w:r w:rsidRPr="001F5762">
        <w:rPr>
          <w:b/>
          <w:color w:val="000000" w:themeColor="text1"/>
          <w:sz w:val="24"/>
          <w:szCs w:val="24"/>
          <w:lang w:val="es-ES"/>
        </w:rPr>
        <w:t>Coordinadora Grupo de Gestión del Talento Humano</w:t>
      </w:r>
    </w:p>
    <w:p w14:paraId="5BFA848F" w14:textId="213CBBD7" w:rsidR="00492583" w:rsidRPr="00B42862" w:rsidRDefault="00492583" w:rsidP="00B42862">
      <w:pPr>
        <w:pStyle w:val="Prrafodelista"/>
        <w:ind w:left="0" w:right="49"/>
        <w:rPr>
          <w:sz w:val="22"/>
          <w:szCs w:val="22"/>
        </w:rPr>
      </w:pPr>
    </w:p>
    <w:p w14:paraId="31FEF628" w14:textId="682F3671" w:rsidR="00827206" w:rsidRDefault="00827206" w:rsidP="00B42862">
      <w:pPr>
        <w:pStyle w:val="Prrafodelista"/>
        <w:ind w:left="0" w:right="49"/>
        <w:rPr>
          <w:sz w:val="22"/>
          <w:szCs w:val="22"/>
        </w:rPr>
      </w:pPr>
    </w:p>
    <w:p w14:paraId="76487952" w14:textId="55632AAF" w:rsidR="00B42862" w:rsidRDefault="00B42862" w:rsidP="00B42862">
      <w:pPr>
        <w:pStyle w:val="Prrafodelista"/>
        <w:ind w:left="0" w:right="49"/>
        <w:rPr>
          <w:sz w:val="22"/>
          <w:szCs w:val="22"/>
        </w:rPr>
      </w:pPr>
    </w:p>
    <w:p w14:paraId="58696AFE" w14:textId="5F3A6FEF" w:rsidR="00B42862" w:rsidRDefault="00B42862" w:rsidP="00B42862">
      <w:pPr>
        <w:pStyle w:val="Prrafodelista"/>
        <w:ind w:left="0" w:right="49"/>
        <w:rPr>
          <w:sz w:val="22"/>
          <w:szCs w:val="22"/>
        </w:rPr>
      </w:pPr>
    </w:p>
    <w:p w14:paraId="5FE4FF9C" w14:textId="6F2EF111" w:rsidR="00B42862" w:rsidRDefault="00B42862" w:rsidP="00B42862">
      <w:pPr>
        <w:pStyle w:val="Prrafodelista"/>
        <w:ind w:left="0" w:right="49"/>
        <w:rPr>
          <w:sz w:val="22"/>
          <w:szCs w:val="22"/>
        </w:rPr>
      </w:pPr>
    </w:p>
    <w:p w14:paraId="76E2FA81" w14:textId="77777777" w:rsidR="00B42862" w:rsidRPr="00B42862" w:rsidRDefault="00B42862" w:rsidP="00B42862">
      <w:pPr>
        <w:pStyle w:val="Prrafodelista"/>
        <w:ind w:left="0" w:right="49"/>
        <w:rPr>
          <w:sz w:val="22"/>
          <w:szCs w:val="22"/>
        </w:rPr>
      </w:pPr>
    </w:p>
    <w:p w14:paraId="34BC3D96" w14:textId="17D8459B" w:rsidR="00492583" w:rsidRPr="00087CB9" w:rsidRDefault="00492583" w:rsidP="00492583">
      <w:pPr>
        <w:tabs>
          <w:tab w:val="left" w:pos="858"/>
        </w:tabs>
        <w:rPr>
          <w:color w:val="auto"/>
          <w:sz w:val="14"/>
          <w:szCs w:val="14"/>
        </w:rPr>
      </w:pPr>
      <w:r>
        <w:rPr>
          <w:color w:val="auto"/>
          <w:sz w:val="14"/>
          <w:szCs w:val="14"/>
        </w:rPr>
        <w:t>Actualizó</w:t>
      </w:r>
      <w:r w:rsidRPr="00087CB9">
        <w:rPr>
          <w:color w:val="auto"/>
          <w:sz w:val="14"/>
          <w:szCs w:val="14"/>
        </w:rPr>
        <w:t xml:space="preserve">: </w:t>
      </w:r>
      <w:r w:rsidR="00B42862" w:rsidRPr="00087CB9">
        <w:rPr>
          <w:color w:val="auto"/>
          <w:sz w:val="14"/>
          <w:szCs w:val="14"/>
        </w:rPr>
        <w:t>Adriana Helena Galvis</w:t>
      </w:r>
      <w:r w:rsidR="00B42862">
        <w:rPr>
          <w:color w:val="auto"/>
          <w:sz w:val="14"/>
          <w:szCs w:val="14"/>
        </w:rPr>
        <w:t xml:space="preserve"> Buitrago/Profesional Especializado GGTH</w:t>
      </w:r>
      <w:r w:rsidR="00B42862" w:rsidRPr="00E171DD">
        <w:rPr>
          <w:color w:val="auto"/>
          <w:sz w:val="14"/>
          <w:szCs w:val="14"/>
        </w:rPr>
        <w:t xml:space="preserve"> </w:t>
      </w:r>
    </w:p>
    <w:p w14:paraId="1A138DDB" w14:textId="01770094" w:rsidR="003D53E3" w:rsidRDefault="00492583" w:rsidP="00D44284">
      <w:pPr>
        <w:tabs>
          <w:tab w:val="left" w:pos="858"/>
        </w:tabs>
      </w:pPr>
      <w:r w:rsidRPr="00087CB9">
        <w:rPr>
          <w:color w:val="auto"/>
          <w:sz w:val="14"/>
          <w:szCs w:val="14"/>
        </w:rPr>
        <w:t xml:space="preserve">Revisó: </w:t>
      </w:r>
      <w:r w:rsidR="00B42862">
        <w:rPr>
          <w:color w:val="auto"/>
          <w:sz w:val="14"/>
          <w:szCs w:val="14"/>
        </w:rPr>
        <w:t xml:space="preserve">    </w:t>
      </w:r>
      <w:r>
        <w:rPr>
          <w:color w:val="auto"/>
          <w:sz w:val="14"/>
          <w:szCs w:val="14"/>
        </w:rPr>
        <w:t>Nini Johanna Sandoval Jaime/Coordinadora G</w:t>
      </w:r>
      <w:r w:rsidR="00D44284">
        <w:rPr>
          <w:color w:val="auto"/>
          <w:sz w:val="14"/>
          <w:szCs w:val="14"/>
        </w:rPr>
        <w:t>GTH</w:t>
      </w:r>
    </w:p>
    <w:sectPr w:rsidR="003D53E3" w:rsidSect="00D442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57120" w14:textId="77777777" w:rsidR="00873CC3" w:rsidRDefault="00873CC3" w:rsidP="00E30555">
      <w:r>
        <w:separator/>
      </w:r>
    </w:p>
  </w:endnote>
  <w:endnote w:type="continuationSeparator" w:id="0">
    <w:p w14:paraId="38AA6387" w14:textId="77777777" w:rsidR="00873CC3" w:rsidRDefault="00873CC3" w:rsidP="00E3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A444" w14:textId="77777777" w:rsidR="00E30555" w:rsidRPr="009478BB" w:rsidRDefault="00E30555" w:rsidP="00E30555">
    <w:pPr>
      <w:spacing w:line="276" w:lineRule="auto"/>
      <w:rPr>
        <w:rFonts w:ascii="Verdana" w:hAnsi="Verdana"/>
        <w:b/>
        <w:bCs/>
        <w:sz w:val="16"/>
        <w:szCs w:val="16"/>
      </w:rPr>
    </w:pPr>
    <w:r w:rsidRPr="009478BB">
      <w:rPr>
        <w:noProof/>
        <w:sz w:val="16"/>
        <w:szCs w:val="16"/>
        <w:lang w:eastAsia="es-CO"/>
      </w:rPr>
      <mc:AlternateContent>
        <mc:Choice Requires="wps">
          <w:drawing>
            <wp:anchor distT="0" distB="0" distL="114300" distR="114300" simplePos="0" relativeHeight="251663360" behindDoc="0" locked="0" layoutInCell="1" allowOverlap="1" wp14:anchorId="20F449F4" wp14:editId="56C5DABE">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AE7EE" w14:textId="77777777" w:rsidR="00E30555" w:rsidRPr="009C1810" w:rsidRDefault="00E30555" w:rsidP="00E30555">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449F4" id="_x0000_t202" coordsize="21600,21600" o:spt="202" path="m,l,21600r21600,l21600,xe">
              <v:stroke joinstyle="miter"/>
              <v:path gradientshapeok="t" o:connecttype="rect"/>
            </v:shapetype>
            <v:shape id="_x0000_s1031" type="#_x0000_t202" style="position:absolute;left:0;text-align:left;margin-left:371.2pt;margin-top:4pt;width:101.2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SYgwIAAHA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" filled="f" stroked="f" strokeweight=".5pt">
              <v:textbox>
                <w:txbxContent>
                  <w:p w14:paraId="50BAE7EE" w14:textId="77777777" w:rsidR="00E30555" w:rsidRPr="009C1810" w:rsidRDefault="00E30555" w:rsidP="00E30555">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r w:rsidRPr="009478BB">
      <w:rPr>
        <w:rFonts w:ascii="Verdana" w:hAnsi="Verdana"/>
        <w:b/>
        <w:bCs/>
        <w:sz w:val="16"/>
        <w:szCs w:val="16"/>
      </w:rPr>
      <w:t>SuperSubsidio</w:t>
    </w:r>
  </w:p>
  <w:p w14:paraId="3316A06B" w14:textId="77777777" w:rsidR="00E30555" w:rsidRPr="009478BB" w:rsidRDefault="00E30555" w:rsidP="00E30555">
    <w:pPr>
      <w:spacing w:line="276" w:lineRule="auto"/>
      <w:rPr>
        <w:rFonts w:ascii="Verdana" w:hAnsi="Verdana"/>
        <w:sz w:val="16"/>
        <w:szCs w:val="16"/>
        <w:shd w:val="clear" w:color="auto" w:fill="FFFFFF"/>
        <w:lang w:val="en-US"/>
      </w:rPr>
    </w:pPr>
    <w:r w:rsidRPr="009478BB">
      <w:rPr>
        <w:rFonts w:ascii="Verdana" w:hAnsi="Verdana"/>
        <w:sz w:val="16"/>
        <w:szCs w:val="16"/>
      </w:rPr>
      <w:t xml:space="preserve">Dirección: </w:t>
    </w:r>
    <w:r w:rsidRPr="009478BB">
      <w:rPr>
        <w:rFonts w:ascii="Verdana" w:hAnsi="Verdana"/>
        <w:sz w:val="16"/>
        <w:szCs w:val="16"/>
        <w:shd w:val="clear" w:color="auto" w:fill="FFFFFF"/>
      </w:rPr>
      <w:t xml:space="preserve">Carrera 69 No. 25B - 44. </w:t>
    </w:r>
    <w:r w:rsidRPr="009478BB">
      <w:rPr>
        <w:rFonts w:ascii="Verdana" w:hAnsi="Verdana"/>
        <w:sz w:val="16"/>
        <w:szCs w:val="16"/>
        <w:shd w:val="clear" w:color="auto" w:fill="FFFFFF"/>
        <w:lang w:val="en-US"/>
      </w:rPr>
      <w:t xml:space="preserve">Pisos 3, 4 y 7 </w:t>
    </w:r>
  </w:p>
  <w:p w14:paraId="0614E8F0" w14:textId="77777777" w:rsidR="00E30555" w:rsidRPr="009478BB" w:rsidRDefault="00E30555" w:rsidP="00E30555">
    <w:pPr>
      <w:spacing w:line="276" w:lineRule="auto"/>
      <w:rPr>
        <w:rFonts w:ascii="Verdana" w:hAnsi="Verdana"/>
        <w:sz w:val="16"/>
        <w:szCs w:val="16"/>
        <w:shd w:val="clear" w:color="auto" w:fill="FFFFFF"/>
        <w:lang w:val="en-US"/>
      </w:rPr>
    </w:pPr>
    <w:r w:rsidRPr="009478BB">
      <w:rPr>
        <w:rFonts w:ascii="Verdana" w:hAnsi="Verdana"/>
        <w:sz w:val="16"/>
        <w:szCs w:val="16"/>
        <w:shd w:val="clear" w:color="auto" w:fill="FFFFFF"/>
        <w:lang w:val="en-US"/>
      </w:rPr>
      <w:t>Edificio World Business Port</w:t>
    </w:r>
  </w:p>
  <w:p w14:paraId="6B38FE46" w14:textId="77777777" w:rsidR="00E30555" w:rsidRPr="009478BB" w:rsidRDefault="00E30555" w:rsidP="00E30555">
    <w:pPr>
      <w:spacing w:line="276" w:lineRule="auto"/>
      <w:rPr>
        <w:rFonts w:ascii="Verdana" w:hAnsi="Verdana"/>
        <w:sz w:val="16"/>
        <w:szCs w:val="16"/>
      </w:rPr>
    </w:pPr>
    <w:r w:rsidRPr="009478BB">
      <w:rPr>
        <w:rFonts w:ascii="Verdana" w:hAnsi="Verdana"/>
        <w:sz w:val="16"/>
        <w:szCs w:val="16"/>
      </w:rPr>
      <w:t xml:space="preserve">Conmutador: (+57) </w:t>
    </w:r>
    <w:r w:rsidRPr="009478BB">
      <w:rPr>
        <w:rFonts w:ascii="Verdana" w:hAnsi="Verdana"/>
        <w:sz w:val="16"/>
        <w:szCs w:val="16"/>
        <w:shd w:val="clear" w:color="auto" w:fill="FFFFFF"/>
      </w:rPr>
      <w:t>(601) 348 78 00</w:t>
    </w:r>
  </w:p>
  <w:p w14:paraId="047FC163" w14:textId="77777777" w:rsidR="00E30555" w:rsidRPr="009478BB" w:rsidRDefault="00E30555" w:rsidP="00D44284">
    <w:pPr>
      <w:spacing w:line="276" w:lineRule="auto"/>
      <w:rPr>
        <w:sz w:val="16"/>
        <w:szCs w:val="16"/>
      </w:rPr>
    </w:pPr>
    <w:r w:rsidRPr="009478BB">
      <w:rPr>
        <w:rFonts w:ascii="Verdana" w:hAnsi="Verdana"/>
        <w:sz w:val="16"/>
        <w:szCs w:val="16"/>
      </w:rPr>
      <w:t xml:space="preserve">Línea Gratuita: (+57) </w:t>
    </w:r>
    <w:r w:rsidRPr="009478BB">
      <w:rPr>
        <w:rFonts w:ascii="Verdana" w:hAnsi="Verdana"/>
        <w:sz w:val="16"/>
        <w:szCs w:val="16"/>
        <w:shd w:val="clear" w:color="auto" w:fill="FFFFFF"/>
      </w:rPr>
      <w:t xml:space="preserve">018000 910 110 </w:t>
    </w:r>
    <w:r w:rsidR="00420B6A">
      <w:rPr>
        <w:sz w:val="16"/>
        <w:szCs w:val="16"/>
      </w:rPr>
      <w:tab/>
    </w:r>
  </w:p>
  <w:p w14:paraId="342AB37B" w14:textId="77777777" w:rsidR="00E30555" w:rsidRDefault="00E30555">
    <w:pPr>
      <w:pStyle w:val="Piedepgina"/>
    </w:pPr>
    <w:r>
      <w:rPr>
        <w:noProof/>
        <w:lang w:eastAsia="es-CO"/>
      </w:rPr>
      <w:drawing>
        <wp:anchor distT="0" distB="0" distL="114300" distR="114300" simplePos="0" relativeHeight="251661312" behindDoc="1" locked="0" layoutInCell="1" allowOverlap="1" wp14:anchorId="7F658F20" wp14:editId="7630B23D">
          <wp:simplePos x="0" y="0"/>
          <wp:positionH relativeFrom="margin">
            <wp:align>center</wp:align>
          </wp:positionH>
          <wp:positionV relativeFrom="paragraph">
            <wp:posOffset>151130</wp:posOffset>
          </wp:positionV>
          <wp:extent cx="767443" cy="67026"/>
          <wp:effectExtent l="0" t="0" r="0" b="952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D7DD" w14:textId="77777777" w:rsidR="00873CC3" w:rsidRDefault="00873CC3" w:rsidP="00E30555">
      <w:r>
        <w:separator/>
      </w:r>
    </w:p>
  </w:footnote>
  <w:footnote w:type="continuationSeparator" w:id="0">
    <w:p w14:paraId="0CDDF655" w14:textId="77777777" w:rsidR="00873CC3" w:rsidRDefault="00873CC3" w:rsidP="00E3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B567" w14:textId="77777777" w:rsidR="00E30555" w:rsidRDefault="00873CC3" w:rsidP="00420B6A">
    <w:pPr>
      <w:pStyle w:val="Encabezado"/>
      <w:tabs>
        <w:tab w:val="clear" w:pos="4419"/>
      </w:tabs>
    </w:pPr>
    <w:sdt>
      <w:sdtPr>
        <w:id w:val="-1029488156"/>
        <w:docPartObj>
          <w:docPartGallery w:val="Page Numbers (Margins)"/>
          <w:docPartUnique/>
        </w:docPartObj>
      </w:sdtPr>
      <w:sdtEndPr/>
      <w:sdtContent>
        <w:r w:rsidR="00420B6A">
          <w:rPr>
            <w:noProof/>
          </w:rPr>
          <mc:AlternateContent>
            <mc:Choice Requires="wps">
              <w:drawing>
                <wp:anchor distT="0" distB="0" distL="114300" distR="114300" simplePos="0" relativeHeight="251665408" behindDoc="0" locked="0" layoutInCell="0" allowOverlap="1" wp14:anchorId="660C4716" wp14:editId="00100A29">
                  <wp:simplePos x="0" y="0"/>
                  <wp:positionH relativeFrom="rightMargin">
                    <wp:align>center</wp:align>
                  </wp:positionH>
                  <wp:positionV relativeFrom="page">
                    <wp:align>center</wp:align>
                  </wp:positionV>
                  <wp:extent cx="762000" cy="8953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16"/>
                                  <w:szCs w:val="16"/>
                                </w:rPr>
                                <w:id w:val="-1807150379"/>
                                <w:docPartObj>
                                  <w:docPartGallery w:val="Page Numbers (Margins)"/>
                                  <w:docPartUnique/>
                                </w:docPartObj>
                              </w:sdtPr>
                              <w:sdtEndPr/>
                              <w:sdtContent>
                                <w:p w14:paraId="662081E0" w14:textId="77777777" w:rsidR="00420B6A" w:rsidRPr="00420B6A" w:rsidRDefault="00420B6A">
                                  <w:pPr>
                                    <w:jc w:val="center"/>
                                    <w:rPr>
                                      <w:rFonts w:eastAsiaTheme="majorEastAsia"/>
                                      <w:sz w:val="16"/>
                                      <w:szCs w:val="16"/>
                                    </w:rPr>
                                  </w:pPr>
                                  <w:r w:rsidRPr="00420B6A">
                                    <w:rPr>
                                      <w:rFonts w:eastAsiaTheme="minorEastAsia"/>
                                      <w:sz w:val="16"/>
                                      <w:szCs w:val="16"/>
                                    </w:rPr>
                                    <w:fldChar w:fldCharType="begin"/>
                                  </w:r>
                                  <w:r w:rsidRPr="00420B6A">
                                    <w:rPr>
                                      <w:sz w:val="16"/>
                                      <w:szCs w:val="16"/>
                                    </w:rPr>
                                    <w:instrText>PAGE  \* MERGEFORMAT</w:instrText>
                                  </w:r>
                                  <w:r w:rsidRPr="00420B6A">
                                    <w:rPr>
                                      <w:rFonts w:eastAsiaTheme="minorEastAsia"/>
                                      <w:sz w:val="16"/>
                                      <w:szCs w:val="16"/>
                                    </w:rPr>
                                    <w:fldChar w:fldCharType="separate"/>
                                  </w:r>
                                  <w:r w:rsidRPr="00420B6A">
                                    <w:rPr>
                                      <w:rFonts w:eastAsiaTheme="majorEastAsia"/>
                                      <w:sz w:val="16"/>
                                      <w:szCs w:val="16"/>
                                      <w:lang w:val="es-ES"/>
                                    </w:rPr>
                                    <w:t>2</w:t>
                                  </w:r>
                                  <w:r w:rsidRPr="00420B6A">
                                    <w:rPr>
                                      <w:rFonts w:eastAsiaTheme="majorEastAsia"/>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4716" id="Rectángulo 31" o:spid="_x0000_s1030" style="position:absolute;left:0;text-align:left;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MYhFNIsCAAAJBQAADgAAAAAAAAAAAAAAAAAuAgAAZHJzL2Uyb0RvYy54bWxQSwECLQAUAAYACAAA&#10;ACEAbNUf09kAAAAFAQAADwAAAAAAAAAAAAAAAADlBAAAZHJzL2Rvd25yZXYueG1sUEsFBgAAAAAE&#10;AAQA8wAAAOsFAAAAAA==&#10;" o:allowincell="f" stroked="f">
                  <v:textbox>
                    <w:txbxContent>
                      <w:sdt>
                        <w:sdtPr>
                          <w:rPr>
                            <w:rFonts w:eastAsiaTheme="majorEastAsia"/>
                            <w:sz w:val="16"/>
                            <w:szCs w:val="16"/>
                          </w:rPr>
                          <w:id w:val="-1807150379"/>
                          <w:docPartObj>
                            <w:docPartGallery w:val="Page Numbers (Margins)"/>
                            <w:docPartUnique/>
                          </w:docPartObj>
                        </w:sdtPr>
                        <w:sdtEndPr/>
                        <w:sdtContent>
                          <w:p w14:paraId="662081E0" w14:textId="77777777" w:rsidR="00420B6A" w:rsidRPr="00420B6A" w:rsidRDefault="00420B6A">
                            <w:pPr>
                              <w:jc w:val="center"/>
                              <w:rPr>
                                <w:rFonts w:eastAsiaTheme="majorEastAsia"/>
                                <w:sz w:val="16"/>
                                <w:szCs w:val="16"/>
                              </w:rPr>
                            </w:pPr>
                            <w:r w:rsidRPr="00420B6A">
                              <w:rPr>
                                <w:rFonts w:eastAsiaTheme="minorEastAsia"/>
                                <w:sz w:val="16"/>
                                <w:szCs w:val="16"/>
                              </w:rPr>
                              <w:fldChar w:fldCharType="begin"/>
                            </w:r>
                            <w:r w:rsidRPr="00420B6A">
                              <w:rPr>
                                <w:sz w:val="16"/>
                                <w:szCs w:val="16"/>
                              </w:rPr>
                              <w:instrText>PAGE  \* MERGEFORMAT</w:instrText>
                            </w:r>
                            <w:r w:rsidRPr="00420B6A">
                              <w:rPr>
                                <w:rFonts w:eastAsiaTheme="minorEastAsia"/>
                                <w:sz w:val="16"/>
                                <w:szCs w:val="16"/>
                              </w:rPr>
                              <w:fldChar w:fldCharType="separate"/>
                            </w:r>
                            <w:r w:rsidRPr="00420B6A">
                              <w:rPr>
                                <w:rFonts w:eastAsiaTheme="majorEastAsia"/>
                                <w:sz w:val="16"/>
                                <w:szCs w:val="16"/>
                                <w:lang w:val="es-ES"/>
                              </w:rPr>
                              <w:t>2</w:t>
                            </w:r>
                            <w:r w:rsidRPr="00420B6A">
                              <w:rPr>
                                <w:rFonts w:eastAsiaTheme="majorEastAsia"/>
                                <w:sz w:val="16"/>
                                <w:szCs w:val="16"/>
                              </w:rPr>
                              <w:fldChar w:fldCharType="end"/>
                            </w:r>
                          </w:p>
                        </w:sdtContent>
                      </w:sdt>
                    </w:txbxContent>
                  </v:textbox>
                  <w10:wrap anchorx="margin" anchory="page"/>
                </v:rect>
              </w:pict>
            </mc:Fallback>
          </mc:AlternateContent>
        </w:r>
      </w:sdtContent>
    </w:sdt>
    <w:r w:rsidR="00E30555">
      <w:rPr>
        <w:noProof/>
        <w:lang w:eastAsia="es-CO"/>
      </w:rPr>
      <w:drawing>
        <wp:anchor distT="0" distB="0" distL="114300" distR="114300" simplePos="0" relativeHeight="251659264" behindDoc="0" locked="0" layoutInCell="1" allowOverlap="1" wp14:anchorId="02628158" wp14:editId="1808B429">
          <wp:simplePos x="0" y="0"/>
          <wp:positionH relativeFrom="margin">
            <wp:align>center</wp:align>
          </wp:positionH>
          <wp:positionV relativeFrom="paragraph">
            <wp:posOffset>-324291</wp:posOffset>
          </wp:positionV>
          <wp:extent cx="1620078" cy="7650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78" cy="765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250"/>
    <w:multiLevelType w:val="hybridMultilevel"/>
    <w:tmpl w:val="D81686DC"/>
    <w:lvl w:ilvl="0" w:tplc="240A000D">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 w15:restartNumberingAfterBreak="0">
    <w:nsid w:val="14DD256B"/>
    <w:multiLevelType w:val="hybridMultilevel"/>
    <w:tmpl w:val="541C4A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833E0F"/>
    <w:multiLevelType w:val="multilevel"/>
    <w:tmpl w:val="05F62A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cs="Arial" w:hint="default"/>
        <w:sz w:val="24"/>
        <w:szCs w:val="24"/>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160" w:hanging="1800"/>
      </w:pPr>
      <w:rPr>
        <w:rFonts w:cs="Arial" w:hint="default"/>
        <w:sz w:val="22"/>
      </w:rPr>
    </w:lvl>
    <w:lvl w:ilvl="8">
      <w:start w:val="1"/>
      <w:numFmt w:val="decimal"/>
      <w:isLgl/>
      <w:lvlText w:val="%1.%2.%3.%4.%5.%6.%7.%8.%9."/>
      <w:lvlJc w:val="left"/>
      <w:pPr>
        <w:ind w:left="2520" w:hanging="2160"/>
      </w:pPr>
      <w:rPr>
        <w:rFonts w:cs="Arial" w:hint="default"/>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55"/>
    <w:rsid w:val="00096768"/>
    <w:rsid w:val="000C5490"/>
    <w:rsid w:val="000D31E3"/>
    <w:rsid w:val="001B18B4"/>
    <w:rsid w:val="001B672C"/>
    <w:rsid w:val="001B7DE2"/>
    <w:rsid w:val="001D544D"/>
    <w:rsid w:val="001D7629"/>
    <w:rsid w:val="001E0E5D"/>
    <w:rsid w:val="001F3B12"/>
    <w:rsid w:val="0020229F"/>
    <w:rsid w:val="00237728"/>
    <w:rsid w:val="002530BC"/>
    <w:rsid w:val="0033046C"/>
    <w:rsid w:val="00375FCE"/>
    <w:rsid w:val="003D53E3"/>
    <w:rsid w:val="003D6E97"/>
    <w:rsid w:val="003E6AC5"/>
    <w:rsid w:val="00414594"/>
    <w:rsid w:val="00420B6A"/>
    <w:rsid w:val="004259CD"/>
    <w:rsid w:val="004433CC"/>
    <w:rsid w:val="00492583"/>
    <w:rsid w:val="00496628"/>
    <w:rsid w:val="004A30F7"/>
    <w:rsid w:val="004E0AEC"/>
    <w:rsid w:val="00546F68"/>
    <w:rsid w:val="00547616"/>
    <w:rsid w:val="005660FC"/>
    <w:rsid w:val="0058539A"/>
    <w:rsid w:val="005F1529"/>
    <w:rsid w:val="00661F7B"/>
    <w:rsid w:val="00665229"/>
    <w:rsid w:val="006931C8"/>
    <w:rsid w:val="00721E0A"/>
    <w:rsid w:val="007323B4"/>
    <w:rsid w:val="007354B7"/>
    <w:rsid w:val="00772C7E"/>
    <w:rsid w:val="0081695A"/>
    <w:rsid w:val="00827206"/>
    <w:rsid w:val="00854092"/>
    <w:rsid w:val="00873CC3"/>
    <w:rsid w:val="00886018"/>
    <w:rsid w:val="008E2923"/>
    <w:rsid w:val="008E3826"/>
    <w:rsid w:val="00932572"/>
    <w:rsid w:val="009478BB"/>
    <w:rsid w:val="00956C26"/>
    <w:rsid w:val="00974BB9"/>
    <w:rsid w:val="009E4A48"/>
    <w:rsid w:val="00A33682"/>
    <w:rsid w:val="00AF5DA6"/>
    <w:rsid w:val="00B42862"/>
    <w:rsid w:val="00B46FAC"/>
    <w:rsid w:val="00B46FCF"/>
    <w:rsid w:val="00B6018F"/>
    <w:rsid w:val="00B63C52"/>
    <w:rsid w:val="00B65D56"/>
    <w:rsid w:val="00B9356F"/>
    <w:rsid w:val="00C378BE"/>
    <w:rsid w:val="00C77921"/>
    <w:rsid w:val="00C93584"/>
    <w:rsid w:val="00CA0EF2"/>
    <w:rsid w:val="00CA7904"/>
    <w:rsid w:val="00CB4AB2"/>
    <w:rsid w:val="00CC4531"/>
    <w:rsid w:val="00D10F3A"/>
    <w:rsid w:val="00D44284"/>
    <w:rsid w:val="00D57EC8"/>
    <w:rsid w:val="00DB658B"/>
    <w:rsid w:val="00DE2995"/>
    <w:rsid w:val="00E10EB7"/>
    <w:rsid w:val="00E30555"/>
    <w:rsid w:val="00E3070C"/>
    <w:rsid w:val="00E427C6"/>
    <w:rsid w:val="00E55BEC"/>
    <w:rsid w:val="00E7499C"/>
    <w:rsid w:val="00EF53E6"/>
    <w:rsid w:val="00F3712B"/>
    <w:rsid w:val="00F62DB9"/>
    <w:rsid w:val="00F84272"/>
    <w:rsid w:val="00FD29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A466"/>
  <w15:chartTrackingRefBased/>
  <w15:docId w15:val="{C1CA386A-EE73-4CEF-B41B-A3A545CC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555"/>
    <w:pPr>
      <w:autoSpaceDE w:val="0"/>
      <w:autoSpaceDN w:val="0"/>
      <w:adjustRightInd w:val="0"/>
      <w:spacing w:after="0" w:line="240" w:lineRule="auto"/>
      <w:jc w:val="both"/>
    </w:pPr>
    <w:rPr>
      <w:rFonts w:ascii="Arial" w:eastAsia="Calibri" w:hAnsi="Arial" w:cs="Arial"/>
      <w:color w:val="000000"/>
    </w:rPr>
  </w:style>
  <w:style w:type="paragraph" w:styleId="Ttulo1">
    <w:name w:val="heading 1"/>
    <w:basedOn w:val="Normal"/>
    <w:next w:val="Normal"/>
    <w:link w:val="Ttulo1Car"/>
    <w:uiPriority w:val="9"/>
    <w:qFormat/>
    <w:rsid w:val="00E305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967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555"/>
    <w:pPr>
      <w:tabs>
        <w:tab w:val="center" w:pos="4419"/>
        <w:tab w:val="right" w:pos="8838"/>
      </w:tabs>
    </w:pPr>
  </w:style>
  <w:style w:type="character" w:customStyle="1" w:styleId="EncabezadoCar">
    <w:name w:val="Encabezado Car"/>
    <w:basedOn w:val="Fuentedeprrafopredeter"/>
    <w:link w:val="Encabezado"/>
    <w:uiPriority w:val="99"/>
    <w:rsid w:val="00E30555"/>
  </w:style>
  <w:style w:type="paragraph" w:styleId="Piedepgina">
    <w:name w:val="footer"/>
    <w:basedOn w:val="Normal"/>
    <w:link w:val="PiedepginaCar"/>
    <w:uiPriority w:val="99"/>
    <w:unhideWhenUsed/>
    <w:rsid w:val="00E30555"/>
    <w:pPr>
      <w:tabs>
        <w:tab w:val="center" w:pos="4419"/>
        <w:tab w:val="right" w:pos="8838"/>
      </w:tabs>
    </w:pPr>
  </w:style>
  <w:style w:type="character" w:customStyle="1" w:styleId="PiedepginaCar">
    <w:name w:val="Pie de página Car"/>
    <w:basedOn w:val="Fuentedeprrafopredeter"/>
    <w:link w:val="Piedepgina"/>
    <w:uiPriority w:val="99"/>
    <w:rsid w:val="00E30555"/>
  </w:style>
  <w:style w:type="paragraph" w:styleId="Sinespaciado">
    <w:name w:val="No Spacing"/>
    <w:link w:val="SinespaciadoCar"/>
    <w:uiPriority w:val="1"/>
    <w:qFormat/>
    <w:rsid w:val="00E3055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30555"/>
    <w:rPr>
      <w:rFonts w:ascii="Calibri" w:eastAsia="Calibri" w:hAnsi="Calibri" w:cs="Times New Roman"/>
    </w:rPr>
  </w:style>
  <w:style w:type="character" w:styleId="Hipervnculo">
    <w:name w:val="Hyperlink"/>
    <w:uiPriority w:val="99"/>
    <w:rsid w:val="00E30555"/>
    <w:rPr>
      <w:color w:val="0000FF"/>
      <w:u w:val="single"/>
    </w:rPr>
  </w:style>
  <w:style w:type="character" w:customStyle="1" w:styleId="Ttulo1Car">
    <w:name w:val="Título 1 Car"/>
    <w:basedOn w:val="Fuentedeprrafopredeter"/>
    <w:link w:val="Ttulo1"/>
    <w:uiPriority w:val="9"/>
    <w:rsid w:val="00E3055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30555"/>
    <w:pPr>
      <w:keepNext w:val="0"/>
      <w:keepLines w:val="0"/>
      <w:spacing w:line="259" w:lineRule="auto"/>
      <w:ind w:left="567" w:hanging="567"/>
      <w:outlineLvl w:val="9"/>
    </w:pPr>
    <w:rPr>
      <w:rFonts w:ascii="Calibri Light" w:eastAsia="Calibri" w:hAnsi="Calibri Light" w:cs="Arial"/>
      <w:bCs/>
      <w:color w:val="2E74B5"/>
      <w:lang w:eastAsia="es-CO"/>
    </w:rPr>
  </w:style>
  <w:style w:type="paragraph" w:styleId="TDC1">
    <w:name w:val="toc 1"/>
    <w:basedOn w:val="Normal"/>
    <w:next w:val="Normal"/>
    <w:autoRedefine/>
    <w:uiPriority w:val="39"/>
    <w:unhideWhenUsed/>
    <w:rsid w:val="00E30555"/>
    <w:pPr>
      <w:tabs>
        <w:tab w:val="right" w:leader="dot" w:pos="8828"/>
      </w:tabs>
      <w:spacing w:before="120" w:after="120"/>
      <w:ind w:left="567" w:hanging="567"/>
    </w:pPr>
    <w:rPr>
      <w:b/>
      <w:bCs/>
      <w:noProof/>
      <w:color w:val="000000" w:themeColor="text1"/>
    </w:rPr>
  </w:style>
  <w:style w:type="paragraph" w:styleId="Prrafodelista">
    <w:name w:val="List Paragraph"/>
    <w:aliases w:val="Segundo nivel de viñetas,List Paragraph1,titulo 3,Lista vistosa - Énfasis 11,Segundo nivel de vi–etas,parrafo,List Paragraph,Colorful List Accent 1,HOJA,Bolita,Párrafo de lista4,BOLADEF,Párrafo de lista3,Párrafo de lista21,BOLA"/>
    <w:basedOn w:val="Normal"/>
    <w:link w:val="PrrafodelistaCar"/>
    <w:uiPriority w:val="34"/>
    <w:qFormat/>
    <w:rsid w:val="00E30555"/>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Colorful List Accent 1 Car,HOJA Car,Bolita Car,Párrafo de lista4 Car,BOLA Car"/>
    <w:link w:val="Prrafodelista"/>
    <w:uiPriority w:val="34"/>
    <w:rsid w:val="00E30555"/>
    <w:rPr>
      <w:rFonts w:ascii="Arial" w:eastAsia="Calibri" w:hAnsi="Arial" w:cs="Arial"/>
      <w:color w:val="000000"/>
      <w:sz w:val="20"/>
      <w:szCs w:val="20"/>
    </w:rPr>
  </w:style>
  <w:style w:type="paragraph" w:customStyle="1" w:styleId="Default">
    <w:name w:val="Default"/>
    <w:rsid w:val="00E30555"/>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492583"/>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92583"/>
    <w:pPr>
      <w:spacing w:after="120"/>
    </w:pPr>
  </w:style>
  <w:style w:type="character" w:customStyle="1" w:styleId="TextoindependienteCar">
    <w:name w:val="Texto independiente Car"/>
    <w:basedOn w:val="Fuentedeprrafopredeter"/>
    <w:link w:val="Textoindependiente"/>
    <w:uiPriority w:val="99"/>
    <w:rsid w:val="00492583"/>
    <w:rPr>
      <w:rFonts w:ascii="Arial" w:eastAsia="Calibri" w:hAnsi="Arial" w:cs="Arial"/>
      <w:color w:val="000000"/>
    </w:rPr>
  </w:style>
  <w:style w:type="character" w:customStyle="1" w:styleId="Ttulo4Car">
    <w:name w:val="Título 4 Car"/>
    <w:basedOn w:val="Fuentedeprrafopredeter"/>
    <w:link w:val="Ttulo4"/>
    <w:uiPriority w:val="9"/>
    <w:rsid w:val="000967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3BC64699EAB740B953EF9B73E425DF" ma:contentTypeVersion="4" ma:contentTypeDescription="Crear nuevo documento." ma:contentTypeScope="" ma:versionID="8582be57a208805a5e9caf04a75358db">
  <xsd:schema xmlns:xsd="http://www.w3.org/2001/XMLSchema" xmlns:xs="http://www.w3.org/2001/XMLSchema" xmlns:p="http://schemas.microsoft.com/office/2006/metadata/properties" xmlns:ns2="82f8fa2e-d933-4c16-ad91-f61980abd9ec" targetNamespace="http://schemas.microsoft.com/office/2006/metadata/properties" ma:root="true" ma:fieldsID="53ba6b6ee1e2e6eefe0164fc2d91d484" ns2:_="">
    <xsd:import namespace="82f8fa2e-d933-4c16-ad91-f61980abd9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fa2e-d933-4c16-ad91-f61980ab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F1A8-72DA-4626-86D1-25F092E595D8}">
  <ds:schemaRefs>
    <ds:schemaRef ds:uri="http://schemas.microsoft.com/sharepoint/v3/contenttype/forms"/>
  </ds:schemaRefs>
</ds:datastoreItem>
</file>

<file path=customXml/itemProps2.xml><?xml version="1.0" encoding="utf-8"?>
<ds:datastoreItem xmlns:ds="http://schemas.openxmlformats.org/officeDocument/2006/customXml" ds:itemID="{15C4CC26-271F-4A25-9826-BBD5FF75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fa2e-d933-4c16-ad91-f61980abd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CAF07-EE57-44A6-8B79-72C3DD8F7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2D151-27F6-4059-ACA4-DE5F0F38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2452</Words>
  <Characters>13488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Andrea Gonzalez Duarte</dc:creator>
  <cp:keywords/>
  <dc:description/>
  <cp:lastModifiedBy>Sandra Milena Bernal Salazar</cp:lastModifiedBy>
  <cp:revision>2</cp:revision>
  <cp:lastPrinted>2025-01-27T17:18:00Z</cp:lastPrinted>
  <dcterms:created xsi:type="dcterms:W3CDTF">2025-01-30T15:07:00Z</dcterms:created>
  <dcterms:modified xsi:type="dcterms:W3CDTF">2025-01-30T15:07:00Z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0x0101005C3BC64699EAB740B953EF9B73E425DF</vt:lpwstr>
  </property>
</Properties>
</file>